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48930105"/>
      <w:bookmarkEnd w:id="0"/>
      <w:bookmarkStart w:id="1" w:name="_Hlt449016246"/>
      <w:bookmarkEnd w:id="1"/>
      <w:bookmarkStart w:id="2" w:name="_Hlt450039480"/>
      <w:bookmarkEnd w:id="2"/>
      <w:bookmarkStart w:id="3" w:name="_Hlt450051172"/>
      <w:bookmarkEnd w:id="3"/>
      <w:bookmarkStart w:id="4" w:name="_Hlt450066085"/>
      <w:bookmarkEnd w:id="4"/>
      <w:bookmarkStart w:id="5" w:name="_Hlt450066087"/>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06260</w:t>
      </w:r>
      <w:bookmarkStart w:id="8" w:name="_GoBack"/>
      <w:bookmarkEnd w:id="8"/>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UE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7.11.5</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107</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 xml:space="preserve">from </w:t>
      </w:r>
      <w:r>
        <w:rPr>
          <w:rFonts w:hint="eastAsia"/>
          <w:i w:val="0"/>
          <w:iCs w:val="0"/>
          <w:sz w:val="20"/>
          <w:szCs w:val="20"/>
          <w:lang w:val="en-US" w:eastAsia="zh-CN"/>
        </w:rPr>
        <w:t>UE RF</w:t>
      </w:r>
      <w:r>
        <w:rPr>
          <w:rFonts w:hint="default"/>
          <w:i w:val="0"/>
          <w:iCs w:val="0"/>
          <w:sz w:val="20"/>
          <w:szCs w:val="20"/>
          <w:lang w:val="en-US" w:eastAsia="zh-CN"/>
        </w:rPr>
        <w:t xml:space="preserve">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2</w:t>
            </w:r>
            <w:r>
              <w:rPr>
                <w:sz w:val="20"/>
                <w:szCs w:val="20"/>
              </w:rPr>
              <w:t xml:space="preserve"> (The US is in scope for the WI using the current allocation of the Ku band. The band introduction in specification is pending FCC decision)</w:t>
            </w:r>
            <w:r>
              <w:rPr>
                <w:bCs/>
                <w:sz w:val="20"/>
                <w:szCs w:val="20"/>
              </w:rPr>
              <w:t>:</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 xml:space="preserve">For ITU regions 2 </w:t>
            </w:r>
            <w:r>
              <w:rPr>
                <w:sz w:val="20"/>
                <w:szCs w:val="20"/>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rPr>
            </w:pPr>
            <w:r>
              <w:rPr>
                <w:sz w:val="20"/>
                <w:szCs w:val="20"/>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D</w:t>
            </w:r>
            <w:r>
              <w:rPr>
                <w:rFonts w:hint="eastAsia"/>
                <w:sz w:val="20"/>
                <w:szCs w:val="20"/>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w:t>
            </w:r>
            <w:r>
              <w:rPr>
                <w:rFonts w:hint="eastAsia"/>
                <w:sz w:val="20"/>
                <w:szCs w:val="20"/>
                <w:lang w:eastAsia="zh-TW"/>
              </w:rPr>
              <w:t xml:space="preserve"> </w:t>
            </w:r>
            <w:r>
              <w:rPr>
                <w:sz w:val="20"/>
                <w:szCs w:val="20"/>
              </w:rPr>
              <w:t>10 MHz</w:t>
            </w:r>
            <w:r>
              <w:rPr>
                <w:rFonts w:hint="eastAsia"/>
                <w:sz w:val="20"/>
                <w:szCs w:val="20"/>
                <w:lang w:eastAsia="zh-TW"/>
              </w:rPr>
              <w:t>,</w:t>
            </w:r>
            <w:r>
              <w:rPr>
                <w:sz w:val="20"/>
                <w:szCs w:val="20"/>
              </w:rPr>
              <w:t xml:space="preserve"> 20 MHz, 25 MHz, 35 MHz, 50 MHz, 70 MHz and 100 MHz channel bandwidths with 30 kHz subcarrier spacing, and 10MHz, 15MHz, 25MHz, 35MHz and 50MHz channel bandwidths with 15 kHz subcarrier spacing. </w:t>
            </w:r>
          </w:p>
          <w:p>
            <w:pPr>
              <w:pStyle w:val="34"/>
              <w:numPr>
                <w:ilvl w:val="2"/>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Note: Same subcarrier spacing is assumed for SSB and data channels</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r>
              <w:rPr>
                <w:sz w:val="20"/>
                <w:szCs w:val="20"/>
                <w:lang w:eastAsia="zh-TW"/>
              </w:rPr>
              <w:t>.</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lang w:eastAsia="zh-TW"/>
              </w:rPr>
              <w:t>Note: Simultaneous operation of FR1-NTN and FR2-NTN numerology is not supported in the UE</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NOTE:</w:t>
            </w:r>
            <w:r>
              <w:rPr>
                <w:sz w:val="20"/>
                <w:szCs w:val="20"/>
              </w:rPr>
              <w:tab/>
            </w:r>
            <w:r>
              <w:rPr>
                <w:sz w:val="20"/>
                <w:szCs w:val="20"/>
              </w:rPr>
              <w:t>RRM requirements are defined for VSAT supporting FR1-NTN operation only, or for FR2-NTN operation only.</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sz w:val="20"/>
          <w:szCs w:val="18"/>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eastAsia="zh-CN"/>
        </w:rPr>
      </w:pPr>
      <w:r>
        <w:rPr>
          <w:rFonts w:hint="eastAsia"/>
          <w:sz w:val="24"/>
          <w:szCs w:val="18"/>
          <w:lang w:val="en-US" w:eastAsia="zh-CN"/>
        </w:rPr>
        <w:t>2.1 Handling of FCC, ISED, CEPT regulation related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0"/>
                <w:numId w:val="0"/>
              </w:numPr>
              <w:overflowPunct w:val="0"/>
              <w:autoSpaceDE w:val="0"/>
              <w:autoSpaceDN w:val="0"/>
              <w:adjustRightInd w:val="0"/>
              <w:textAlignment w:val="baseline"/>
              <w:rPr>
                <w:rFonts w:eastAsia="PMingLiU"/>
                <w:sz w:val="20"/>
                <w:szCs w:val="20"/>
                <w:highlight w:val="none"/>
                <w:lang w:val="en-US" w:eastAsia="zh-TW"/>
              </w:rPr>
            </w:pPr>
            <w:r>
              <w:rPr>
                <w:sz w:val="20"/>
                <w:szCs w:val="20"/>
                <w:highlight w:val="none"/>
                <w:lang w:val="en-US"/>
              </w:rPr>
              <w:t>Issue 1-1-</w:t>
            </w:r>
            <w:r>
              <w:rPr>
                <w:rFonts w:hint="eastAsia" w:eastAsia="PMingLiU"/>
                <w:sz w:val="20"/>
                <w:szCs w:val="20"/>
                <w:highlight w:val="none"/>
                <w:lang w:val="en-US" w:eastAsia="zh-TW"/>
              </w:rPr>
              <w:t>5</w:t>
            </w:r>
            <w:r>
              <w:rPr>
                <w:sz w:val="20"/>
                <w:szCs w:val="20"/>
                <w:highlight w:val="none"/>
                <w:lang w:val="en-US"/>
              </w:rPr>
              <w:t xml:space="preserve">: </w:t>
            </w:r>
            <w:r>
              <w:rPr>
                <w:rFonts w:hint="eastAsia" w:eastAsia="PMingLiU"/>
                <w:sz w:val="20"/>
                <w:szCs w:val="20"/>
                <w:highlight w:val="none"/>
                <w:lang w:val="en-US" w:eastAsia="zh-TW"/>
              </w:rPr>
              <w:t>Handling of FCC, ISED, CEPT regulation related requirement</w:t>
            </w:r>
          </w:p>
          <w:p>
            <w:pPr>
              <w:pStyle w:val="34"/>
              <w:keepNext/>
              <w:numPr>
                <w:ilvl w:val="0"/>
                <w:numId w:val="10"/>
              </w:numPr>
              <w:overflowPunct/>
              <w:autoSpaceDE/>
              <w:autoSpaceDN/>
              <w:adjustRightInd/>
              <w:spacing w:after="120" w:line="259" w:lineRule="auto"/>
              <w:ind w:left="720" w:firstLineChars="0"/>
              <w:textAlignment w:val="auto"/>
              <w:rPr>
                <w:sz w:val="20"/>
                <w:szCs w:val="20"/>
                <w:highlight w:val="none"/>
                <w:lang w:val="en-US"/>
              </w:rPr>
            </w:pPr>
            <w:r>
              <w:rPr>
                <w:rFonts w:hint="eastAsia" w:eastAsia="PMingLiU"/>
                <w:sz w:val="20"/>
                <w:szCs w:val="20"/>
                <w:highlight w:val="none"/>
                <w:lang w:val="en-US" w:eastAsia="zh-TW"/>
              </w:rPr>
              <w:t>New NSs will be defined for the Ku band concerning different regulations</w:t>
            </w:r>
          </w:p>
          <w:p>
            <w:pPr>
              <w:pStyle w:val="34"/>
              <w:keepNext/>
              <w:numPr>
                <w:ilvl w:val="1"/>
                <w:numId w:val="10"/>
              </w:numPr>
              <w:overflowPunct/>
              <w:autoSpaceDE/>
              <w:autoSpaceDN/>
              <w:adjustRightIn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FFS on whether different NS numbers will be used for FR1-NTN Ku bands and FR2-NTN Ku bands</w:t>
            </w:r>
          </w:p>
          <w:p>
            <w:pPr>
              <w:pStyle w:val="34"/>
              <w:keepNext/>
              <w:numPr>
                <w:ilvl w:val="1"/>
                <w:numId w:val="10"/>
              </w:numPr>
              <w:overflowPunct/>
              <w:autoSpaceDE/>
              <w:autoSpaceDN/>
              <w:adjustRightInd/>
              <w:spacing w:after="120" w:line="259" w:lineRule="auto"/>
              <w:ind w:firstLineChars="0"/>
              <w:textAlignment w:val="auto"/>
              <w:rPr>
                <w:sz w:val="20"/>
                <w:szCs w:val="20"/>
                <w:highlight w:val="none"/>
                <w:lang w:val="en-US"/>
              </w:rPr>
            </w:pPr>
            <w:r>
              <w:rPr>
                <w:rFonts w:eastAsia="PMingLiU"/>
                <w:sz w:val="20"/>
                <w:szCs w:val="20"/>
                <w:highlight w:val="none"/>
                <w:lang w:val="en-US" w:eastAsia="zh-TW"/>
              </w:rPr>
              <w:t>D</w:t>
            </w:r>
            <w:r>
              <w:rPr>
                <w:rFonts w:hint="eastAsia" w:eastAsia="PMingLiU"/>
                <w:sz w:val="20"/>
                <w:szCs w:val="20"/>
                <w:highlight w:val="none"/>
                <w:lang w:val="en-US" w:eastAsia="zh-TW"/>
              </w:rPr>
              <w:t>ifferent NS numbers will be used to handle FCC and CEPT regulation at least</w:t>
            </w:r>
          </w:p>
          <w:p>
            <w:pPr>
              <w:pStyle w:val="34"/>
              <w:keepNext/>
              <w:numPr>
                <w:ilvl w:val="1"/>
                <w:numId w:val="10"/>
              </w:numPr>
              <w:overflowPunct/>
              <w:autoSpaceDE/>
              <w:autoSpaceDN/>
              <w:adjustRightIn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 xml:space="preserve">FFS on </w:t>
            </w:r>
            <w:r>
              <w:rPr>
                <w:sz w:val="20"/>
                <w:szCs w:val="20"/>
                <w:highlight w:val="none"/>
                <w:lang w:val="en-US"/>
              </w:rPr>
              <w:t>how to handle FCC and ISED requirements</w:t>
            </w:r>
            <w:r>
              <w:rPr>
                <w:rFonts w:hint="eastAsia" w:eastAsia="PMingLiU"/>
                <w:sz w:val="20"/>
                <w:szCs w:val="20"/>
                <w:highlight w:val="none"/>
                <w:lang w:val="en-US" w:eastAsia="zh-TW"/>
              </w:rPr>
              <w:t xml:space="preserve"> </w:t>
            </w:r>
            <w:r>
              <w:rPr>
                <w:sz w:val="20"/>
                <w:szCs w:val="20"/>
                <w:highlight w:val="none"/>
                <w:lang w:val="en-US"/>
              </w:rPr>
              <w:t>in TS 38.101-5</w:t>
            </w:r>
          </w:p>
          <w:p>
            <w:pPr>
              <w:pStyle w:val="34"/>
              <w:keepNext/>
              <w:numPr>
                <w:ilvl w:val="2"/>
                <w:numId w:val="10"/>
              </w:numPr>
              <w:overflowPunct/>
              <w:autoSpaceDE/>
              <w:autoSpaceDN/>
              <w:adjustRightIn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 xml:space="preserve">Option 1: capture the most </w:t>
            </w:r>
            <w:r>
              <w:rPr>
                <w:sz w:val="20"/>
                <w:szCs w:val="20"/>
                <w:highlight w:val="none"/>
                <w:lang w:val="en-US"/>
              </w:rPr>
              <w:t xml:space="preserve">stringent </w:t>
            </w:r>
            <w:r>
              <w:rPr>
                <w:rFonts w:hint="eastAsia" w:eastAsia="PMingLiU"/>
                <w:sz w:val="20"/>
                <w:szCs w:val="20"/>
                <w:highlight w:val="none"/>
                <w:lang w:val="en-US" w:eastAsia="zh-TW"/>
              </w:rPr>
              <w:t>requirement with same NSs</w:t>
            </w:r>
          </w:p>
          <w:p>
            <w:pPr>
              <w:pStyle w:val="34"/>
              <w:keepNext/>
              <w:numPr>
                <w:ilvl w:val="2"/>
                <w:numId w:val="10"/>
              </w:numPr>
              <w:overflowPunct/>
              <w:autoSpaceDE/>
              <w:autoSpaceDN/>
              <w:adjustRightInd/>
              <w:spacing w:after="120" w:line="259" w:lineRule="auto"/>
              <w:ind w:firstLineChars="0"/>
              <w:textAlignment w:val="auto"/>
              <w:rPr>
                <w:rFonts w:hint="eastAsia"/>
                <w:sz w:val="20"/>
                <w:szCs w:val="20"/>
                <w:highlight w:val="none"/>
                <w:vertAlign w:val="baseline"/>
                <w:lang w:val="en-US" w:eastAsia="zh-CN"/>
              </w:rPr>
            </w:pPr>
            <w:r>
              <w:rPr>
                <w:rFonts w:hint="eastAsia" w:eastAsia="PMingLiU"/>
                <w:sz w:val="20"/>
                <w:szCs w:val="20"/>
                <w:highlight w:val="none"/>
                <w:lang w:val="en-US" w:eastAsia="zh-TW"/>
              </w:rPr>
              <w:t>Option 2: separate NSs</w:t>
            </w:r>
          </w:p>
        </w:tc>
      </w:tr>
    </w:tbl>
    <w:p>
      <w:pPr>
        <w:rPr>
          <w:rFonts w:hint="default"/>
          <w:sz w:val="20"/>
          <w:szCs w:val="20"/>
          <w:lang w:val="en-US" w:eastAsia="zh-CN"/>
        </w:rPr>
      </w:pPr>
      <w:r>
        <w:rPr>
          <w:rFonts w:hint="eastAsia"/>
          <w:sz w:val="20"/>
          <w:szCs w:val="20"/>
          <w:lang w:val="en-US" w:eastAsia="zh-CN"/>
        </w:rPr>
        <w:t>For Ku bands, we agreed to introduce both FR1-NTN Ku bands and FR2-NTN Ku bands and specify common FR1 and FR2 radiated RF requirements for NTN VSAT types. Take an example, it will specify same requirements for band n509 and n248 based on FCC regulations. On the other hand, NS_0X corresponds to the conducted requirements, while NS_20X represents the radiated requirements. From our understanding, it is unnecessary to define different NS numbers for FR1-NTN Ku bands and FR2-NTN Ku bands. It is proposed to use the same NS number for FR1-NTN Ku bands and FR2-NTN Ku bands with the same frequency range as follows.</w:t>
      </w:r>
    </w:p>
    <w:p>
      <w:pPr>
        <w:pStyle w:val="34"/>
        <w:numPr>
          <w:ilvl w:val="0"/>
          <w:numId w:val="11"/>
        </w:numPr>
        <w:spacing w:after="0"/>
        <w:rPr>
          <w:b w:val="0"/>
          <w:bCs w:val="0"/>
          <w:sz w:val="20"/>
          <w:szCs w:val="20"/>
          <w:lang w:val="en-GB"/>
        </w:rPr>
      </w:pPr>
      <w:r>
        <w:rPr>
          <w:rFonts w:hint="eastAsia" w:eastAsia="宋体"/>
          <w:b w:val="0"/>
          <w:bCs w:val="0"/>
          <w:sz w:val="20"/>
          <w:szCs w:val="20"/>
          <w:lang w:val="en-US" w:eastAsia="zh-CN"/>
        </w:rPr>
        <w:t>For</w:t>
      </w:r>
      <w:r>
        <w:rPr>
          <w:b w:val="0"/>
          <w:bCs w:val="0"/>
          <w:sz w:val="20"/>
          <w:szCs w:val="20"/>
          <w:lang w:val="en-GB"/>
        </w:rPr>
        <w:t xml:space="preserve"> </w:t>
      </w:r>
      <w:r>
        <w:rPr>
          <w:rFonts w:hint="eastAsia" w:eastAsia="宋体"/>
          <w:b w:val="0"/>
          <w:bCs w:val="0"/>
          <w:sz w:val="20"/>
          <w:szCs w:val="20"/>
          <w:lang w:val="en-US" w:eastAsia="zh-CN"/>
        </w:rPr>
        <w:t>bands n509 and n248</w:t>
      </w:r>
      <w:r>
        <w:rPr>
          <w:b w:val="0"/>
          <w:bCs w:val="0"/>
          <w:sz w:val="20"/>
          <w:szCs w:val="20"/>
          <w:lang w:val="en-GB"/>
        </w:rPr>
        <w:t xml:space="preserve">: </w:t>
      </w:r>
    </w:p>
    <w:p>
      <w:pPr>
        <w:pStyle w:val="34"/>
        <w:numPr>
          <w:ilvl w:val="1"/>
          <w:numId w:val="11"/>
        </w:numPr>
        <w:spacing w:after="0"/>
        <w:rPr>
          <w:b w:val="0"/>
          <w:bCs w:val="0"/>
          <w:sz w:val="20"/>
          <w:szCs w:val="20"/>
          <w:lang w:val="en-GB"/>
        </w:rPr>
      </w:pPr>
      <w:r>
        <w:rPr>
          <w:b w:val="0"/>
          <w:bCs w:val="0"/>
          <w:sz w:val="20"/>
          <w:szCs w:val="20"/>
          <w:lang w:val="en-GB"/>
        </w:rPr>
        <w:t>NS_203N: to handle FCC Regulation.</w:t>
      </w:r>
    </w:p>
    <w:p>
      <w:pPr>
        <w:pStyle w:val="34"/>
        <w:numPr>
          <w:ilvl w:val="1"/>
          <w:numId w:val="11"/>
        </w:numPr>
        <w:spacing w:after="0"/>
        <w:rPr>
          <w:rFonts w:hint="eastAsia"/>
          <w:b/>
          <w:bCs/>
          <w:sz w:val="20"/>
          <w:szCs w:val="20"/>
          <w:lang w:val="en-US" w:eastAsia="zh-CN"/>
        </w:rPr>
      </w:pPr>
      <w:r>
        <w:rPr>
          <w:b w:val="0"/>
          <w:bCs w:val="0"/>
          <w:sz w:val="20"/>
          <w:szCs w:val="20"/>
          <w:lang w:val="en-GB"/>
        </w:rPr>
        <w:t>NS_204N: to handle CEPT Regulation.</w:t>
      </w:r>
    </w:p>
    <w:p>
      <w:pPr>
        <w:rPr>
          <w:rFonts w:hint="default"/>
          <w:b/>
          <w:bCs/>
          <w:sz w:val="20"/>
          <w:szCs w:val="20"/>
          <w:lang w:val="en-US" w:eastAsia="zh-CN"/>
        </w:rPr>
      </w:pPr>
      <w:r>
        <w:rPr>
          <w:rFonts w:hint="eastAsia"/>
          <w:b/>
          <w:bCs/>
          <w:sz w:val="20"/>
          <w:szCs w:val="20"/>
          <w:lang w:val="en-US" w:eastAsia="zh-CN"/>
        </w:rPr>
        <w:t>Proposal 1: It is proposed to use the same NS number for FR1-NTN Ku bands and FR2-NTN Ku bands with the same frequency range as follows.</w:t>
      </w:r>
    </w:p>
    <w:p>
      <w:pPr>
        <w:pStyle w:val="34"/>
        <w:numPr>
          <w:ilvl w:val="0"/>
          <w:numId w:val="11"/>
        </w:numPr>
        <w:spacing w:after="0"/>
        <w:rPr>
          <w:b/>
          <w:bCs/>
          <w:sz w:val="20"/>
          <w:szCs w:val="20"/>
          <w:lang w:val="en-GB"/>
        </w:rPr>
      </w:pPr>
      <w:r>
        <w:rPr>
          <w:rFonts w:hint="eastAsia" w:eastAsia="宋体"/>
          <w:b/>
          <w:bCs/>
          <w:sz w:val="20"/>
          <w:szCs w:val="20"/>
          <w:lang w:val="en-US" w:eastAsia="zh-CN"/>
        </w:rPr>
        <w:t>For</w:t>
      </w:r>
      <w:r>
        <w:rPr>
          <w:b/>
          <w:bCs/>
          <w:sz w:val="20"/>
          <w:szCs w:val="20"/>
          <w:lang w:val="en-GB"/>
        </w:rPr>
        <w:t xml:space="preserve"> </w:t>
      </w:r>
      <w:r>
        <w:rPr>
          <w:rFonts w:hint="eastAsia" w:eastAsia="宋体"/>
          <w:b/>
          <w:bCs/>
          <w:sz w:val="20"/>
          <w:szCs w:val="20"/>
          <w:lang w:val="en-US" w:eastAsia="zh-CN"/>
        </w:rPr>
        <w:t>bands n509 and n248</w:t>
      </w:r>
      <w:r>
        <w:rPr>
          <w:b/>
          <w:bCs/>
          <w:sz w:val="20"/>
          <w:szCs w:val="20"/>
          <w:lang w:val="en-GB"/>
        </w:rPr>
        <w:t xml:space="preserve">: </w:t>
      </w:r>
    </w:p>
    <w:p>
      <w:pPr>
        <w:pStyle w:val="34"/>
        <w:numPr>
          <w:ilvl w:val="1"/>
          <w:numId w:val="11"/>
        </w:numPr>
        <w:spacing w:after="0"/>
        <w:rPr>
          <w:b/>
          <w:bCs/>
          <w:sz w:val="20"/>
          <w:szCs w:val="20"/>
          <w:lang w:val="en-GB"/>
        </w:rPr>
      </w:pPr>
      <w:r>
        <w:rPr>
          <w:b/>
          <w:bCs/>
          <w:sz w:val="20"/>
          <w:szCs w:val="20"/>
          <w:lang w:val="en-GB"/>
        </w:rPr>
        <w:t>NS_203N: to handle FCC Regulation</w:t>
      </w:r>
      <w:r>
        <w:rPr>
          <w:rFonts w:hint="eastAsia" w:eastAsia="宋体"/>
          <w:b/>
          <w:bCs/>
          <w:sz w:val="20"/>
          <w:szCs w:val="20"/>
          <w:lang w:val="en-US" w:eastAsia="zh-CN"/>
        </w:rPr>
        <w:t xml:space="preserve"> for GSO</w:t>
      </w:r>
      <w:r>
        <w:rPr>
          <w:b/>
          <w:bCs/>
          <w:sz w:val="20"/>
          <w:szCs w:val="20"/>
          <w:lang w:val="en-GB"/>
        </w:rPr>
        <w:t>.</w:t>
      </w:r>
    </w:p>
    <w:p>
      <w:pPr>
        <w:pStyle w:val="34"/>
        <w:numPr>
          <w:ilvl w:val="1"/>
          <w:numId w:val="11"/>
        </w:numPr>
        <w:spacing w:after="0"/>
        <w:rPr>
          <w:rFonts w:hint="eastAsia"/>
          <w:b/>
          <w:bCs/>
          <w:sz w:val="20"/>
          <w:szCs w:val="20"/>
          <w:lang w:val="en-US" w:eastAsia="zh-CN"/>
        </w:rPr>
      </w:pPr>
      <w:r>
        <w:rPr>
          <w:b/>
          <w:bCs/>
          <w:sz w:val="20"/>
          <w:szCs w:val="20"/>
          <w:lang w:val="en-GB"/>
        </w:rPr>
        <w:t xml:space="preserve">NS_204N: to handle </w:t>
      </w:r>
      <w:r>
        <w:rPr>
          <w:rFonts w:hint="eastAsia" w:eastAsia="宋体"/>
          <w:b/>
          <w:bCs/>
          <w:sz w:val="20"/>
          <w:szCs w:val="20"/>
          <w:lang w:val="en-US" w:eastAsia="zh-CN"/>
        </w:rPr>
        <w:t>FCC</w:t>
      </w:r>
      <w:r>
        <w:rPr>
          <w:b/>
          <w:bCs/>
          <w:sz w:val="20"/>
          <w:szCs w:val="20"/>
          <w:lang w:val="en-GB"/>
        </w:rPr>
        <w:t xml:space="preserve"> Regulation</w:t>
      </w:r>
      <w:r>
        <w:rPr>
          <w:rFonts w:hint="eastAsia" w:eastAsia="宋体"/>
          <w:b/>
          <w:bCs/>
          <w:sz w:val="20"/>
          <w:szCs w:val="20"/>
          <w:lang w:val="en-US" w:eastAsia="zh-CN"/>
        </w:rPr>
        <w:t xml:space="preserve"> for LEO</w:t>
      </w:r>
      <w:r>
        <w:rPr>
          <w:b/>
          <w:bCs/>
          <w:sz w:val="20"/>
          <w:szCs w:val="20"/>
          <w:lang w:val="en-GB"/>
        </w:rPr>
        <w:t>.</w:t>
      </w:r>
    </w:p>
    <w:p>
      <w:pPr>
        <w:pStyle w:val="34"/>
        <w:numPr>
          <w:ilvl w:val="1"/>
          <w:numId w:val="11"/>
        </w:numPr>
        <w:spacing w:after="0"/>
        <w:rPr>
          <w:b/>
          <w:bCs/>
          <w:sz w:val="20"/>
          <w:szCs w:val="20"/>
          <w:lang w:val="en-GB"/>
        </w:rPr>
      </w:pPr>
      <w:r>
        <w:rPr>
          <w:b/>
          <w:bCs/>
          <w:sz w:val="20"/>
          <w:szCs w:val="20"/>
          <w:lang w:val="en-GB"/>
        </w:rPr>
        <w:t>NS_20</w:t>
      </w:r>
      <w:r>
        <w:rPr>
          <w:rFonts w:hint="eastAsia" w:eastAsia="宋体"/>
          <w:b/>
          <w:bCs/>
          <w:sz w:val="20"/>
          <w:szCs w:val="20"/>
          <w:lang w:val="en-US" w:eastAsia="zh-CN"/>
        </w:rPr>
        <w:t>5</w:t>
      </w:r>
      <w:r>
        <w:rPr>
          <w:b/>
          <w:bCs/>
          <w:sz w:val="20"/>
          <w:szCs w:val="20"/>
          <w:lang w:val="en-GB"/>
        </w:rPr>
        <w:t xml:space="preserve">N: to handle </w:t>
      </w:r>
      <w:r>
        <w:rPr>
          <w:rFonts w:hint="eastAsia" w:eastAsia="宋体"/>
          <w:b/>
          <w:bCs/>
          <w:sz w:val="20"/>
          <w:szCs w:val="20"/>
          <w:lang w:val="en-US" w:eastAsia="zh-CN"/>
        </w:rPr>
        <w:t>CEPT</w:t>
      </w:r>
      <w:r>
        <w:rPr>
          <w:b/>
          <w:bCs/>
          <w:sz w:val="20"/>
          <w:szCs w:val="20"/>
          <w:lang w:val="en-GB"/>
        </w:rPr>
        <w:t xml:space="preserve"> Regulation</w:t>
      </w:r>
      <w:r>
        <w:rPr>
          <w:rFonts w:hint="eastAsia" w:eastAsia="宋体"/>
          <w:b/>
          <w:bCs/>
          <w:sz w:val="20"/>
          <w:szCs w:val="20"/>
          <w:lang w:val="en-US" w:eastAsia="zh-CN"/>
        </w:rPr>
        <w:t xml:space="preserve"> for GSO</w:t>
      </w:r>
      <w:r>
        <w:rPr>
          <w:b/>
          <w:bCs/>
          <w:sz w:val="20"/>
          <w:szCs w:val="20"/>
          <w:lang w:val="en-GB"/>
        </w:rPr>
        <w:t>.</w:t>
      </w:r>
    </w:p>
    <w:p>
      <w:pPr>
        <w:pStyle w:val="34"/>
        <w:numPr>
          <w:ilvl w:val="1"/>
          <w:numId w:val="11"/>
        </w:numPr>
        <w:spacing w:after="0"/>
        <w:rPr>
          <w:rFonts w:hint="eastAsia"/>
          <w:b/>
          <w:bCs/>
          <w:sz w:val="20"/>
          <w:szCs w:val="20"/>
          <w:lang w:val="en-US" w:eastAsia="zh-CN"/>
        </w:rPr>
      </w:pPr>
      <w:r>
        <w:rPr>
          <w:b/>
          <w:bCs/>
          <w:sz w:val="20"/>
          <w:szCs w:val="20"/>
          <w:lang w:val="en-GB"/>
        </w:rPr>
        <w:t>NS_20</w:t>
      </w:r>
      <w:r>
        <w:rPr>
          <w:rFonts w:hint="eastAsia" w:eastAsia="宋体"/>
          <w:b/>
          <w:bCs/>
          <w:sz w:val="20"/>
          <w:szCs w:val="20"/>
          <w:lang w:val="en-US" w:eastAsia="zh-CN"/>
        </w:rPr>
        <w:t>6</w:t>
      </w:r>
      <w:r>
        <w:rPr>
          <w:b/>
          <w:bCs/>
          <w:sz w:val="20"/>
          <w:szCs w:val="20"/>
          <w:lang w:val="en-GB"/>
        </w:rPr>
        <w:t>N: to handle CEPT Regulation</w:t>
      </w:r>
      <w:r>
        <w:rPr>
          <w:rFonts w:hint="eastAsia" w:eastAsia="宋体"/>
          <w:b/>
          <w:bCs/>
          <w:sz w:val="20"/>
          <w:szCs w:val="20"/>
          <w:lang w:val="en-US" w:eastAsia="zh-CN"/>
        </w:rPr>
        <w:t xml:space="preserve"> for LEO</w:t>
      </w:r>
      <w:r>
        <w:rPr>
          <w:b/>
          <w:bCs/>
          <w:sz w:val="20"/>
          <w:szCs w:val="20"/>
          <w:lang w:val="en-GB"/>
        </w:rPr>
        <w:t>.</w:t>
      </w:r>
    </w:p>
    <w:p>
      <w:pPr>
        <w:pStyle w:val="34"/>
        <w:numPr>
          <w:ilvl w:val="0"/>
          <w:numId w:val="0"/>
        </w:numPr>
        <w:spacing w:after="0"/>
        <w:ind w:left="1080" w:leftChars="0"/>
        <w:rPr>
          <w:rFonts w:hint="eastAsia"/>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eastAsia="zh-CN"/>
        </w:rPr>
      </w:pPr>
      <w:r>
        <w:rPr>
          <w:rFonts w:hint="eastAsia"/>
          <w:sz w:val="24"/>
          <w:szCs w:val="18"/>
          <w:lang w:val="en-US" w:eastAsia="zh-CN"/>
        </w:rPr>
        <w:t>2.2 OTA reference sensitivity level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highlight w:val="none"/>
                <w:lang w:val="en-US" w:eastAsia="zh-TW"/>
              </w:rPr>
            </w:pPr>
            <w:r>
              <w:rPr>
                <w:sz w:val="20"/>
                <w:szCs w:val="20"/>
                <w:highlight w:val="none"/>
                <w:lang w:val="en-US"/>
              </w:rPr>
              <w:t>Issue 1-</w:t>
            </w:r>
            <w:r>
              <w:rPr>
                <w:rFonts w:hint="eastAsia"/>
                <w:sz w:val="20"/>
                <w:szCs w:val="20"/>
                <w:highlight w:val="none"/>
                <w:lang w:val="en-US" w:eastAsia="zh-TW"/>
              </w:rPr>
              <w:t>3</w:t>
            </w:r>
            <w:r>
              <w:rPr>
                <w:sz w:val="20"/>
                <w:szCs w:val="20"/>
                <w:highlight w:val="none"/>
                <w:lang w:val="en-US"/>
              </w:rPr>
              <w:t>-</w:t>
            </w:r>
            <w:r>
              <w:rPr>
                <w:rFonts w:hint="eastAsia"/>
                <w:sz w:val="20"/>
                <w:szCs w:val="20"/>
                <w:highlight w:val="none"/>
                <w:lang w:val="en-US" w:eastAsia="zh-TW"/>
              </w:rPr>
              <w:t>1</w:t>
            </w:r>
            <w:r>
              <w:rPr>
                <w:sz w:val="20"/>
                <w:szCs w:val="20"/>
                <w:highlight w:val="none"/>
                <w:lang w:val="en-US"/>
              </w:rPr>
              <w:t>:</w:t>
            </w:r>
            <w:r>
              <w:rPr>
                <w:rFonts w:hint="eastAsia" w:eastAsia="PMingLiU"/>
                <w:sz w:val="20"/>
                <w:szCs w:val="20"/>
                <w:highlight w:val="none"/>
                <w:lang w:val="en-US" w:eastAsia="zh-TW"/>
              </w:rPr>
              <w:t xml:space="preserve"> EIS</w:t>
            </w:r>
            <w:r>
              <w:rPr>
                <w:rFonts w:hint="eastAsia"/>
                <w:sz w:val="20"/>
                <w:szCs w:val="20"/>
                <w:highlight w:val="none"/>
                <w:lang w:val="en-US" w:eastAsia="zh-TW"/>
              </w:rPr>
              <w:t xml:space="preserve"> requirement</w:t>
            </w:r>
          </w:p>
          <w:p>
            <w:pPr>
              <w:keepNext/>
              <w:overflowPunct w:val="0"/>
              <w:autoSpaceDE w:val="0"/>
              <w:autoSpaceDN w:val="0"/>
              <w:adjustRightInd w:val="0"/>
              <w:spacing w:before="120" w:after="120"/>
              <w:textAlignment w:val="baseline"/>
              <w:rPr>
                <w:rFonts w:eastAsia="PMingLiU"/>
                <w:sz w:val="20"/>
                <w:szCs w:val="20"/>
                <w:highlight w:val="none"/>
                <w:lang w:val="en-US" w:eastAsia="zh-TW"/>
              </w:rPr>
            </w:pPr>
            <w:r>
              <w:rPr>
                <w:rFonts w:hint="eastAsia" w:eastAsia="PMingLiU"/>
                <w:sz w:val="20"/>
                <w:szCs w:val="20"/>
                <w:highlight w:val="none"/>
                <w:lang w:val="en-US" w:eastAsia="zh-TW"/>
              </w:rPr>
              <w:t>Agreement:</w:t>
            </w:r>
          </w:p>
          <w:p>
            <w:pPr>
              <w:pStyle w:val="34"/>
              <w:keepNext/>
              <w:numPr>
                <w:ilvl w:val="0"/>
                <w:numId w:val="10"/>
              </w:numPr>
              <w:overflowPunct/>
              <w:autoSpaceDE/>
              <w:autoSpaceDN/>
              <w:adjustRightInd/>
              <w:spacing w:after="120" w:line="259" w:lineRule="auto"/>
              <w:ind w:firstLineChars="0"/>
              <w:textAlignment w:val="auto"/>
              <w:rPr>
                <w:sz w:val="20"/>
                <w:szCs w:val="20"/>
                <w:highlight w:val="none"/>
                <w:lang w:val="en-US"/>
              </w:rPr>
            </w:pPr>
            <w:r>
              <w:rPr>
                <w:rFonts w:hint="eastAsia"/>
                <w:sz w:val="20"/>
                <w:szCs w:val="20"/>
                <w:highlight w:val="none"/>
                <w:lang w:val="en-US" w:eastAsia="zh-TW"/>
              </w:rPr>
              <w:t>FFS on the following two options</w:t>
            </w:r>
          </w:p>
          <w:p>
            <w:pPr>
              <w:pStyle w:val="34"/>
              <w:keepNext/>
              <w:numPr>
                <w:ilvl w:val="0"/>
                <w:numId w:val="10"/>
              </w:numPr>
              <w:overflowPunct/>
              <w:autoSpaceDE/>
              <w:autoSpaceDN/>
              <w:adjustRightInd/>
              <w:spacing w:after="120" w:line="259" w:lineRule="auto"/>
              <w:ind w:firstLineChars="0"/>
              <w:textAlignment w:val="auto"/>
              <w:rPr>
                <w:sz w:val="20"/>
                <w:szCs w:val="20"/>
                <w:highlight w:val="none"/>
                <w:lang w:val="en-US"/>
              </w:rPr>
            </w:pPr>
            <w:r>
              <w:rPr>
                <w:rFonts w:hint="eastAsia"/>
                <w:sz w:val="20"/>
                <w:szCs w:val="20"/>
                <w:highlight w:val="none"/>
                <w:lang w:val="en-US" w:eastAsia="zh-TW"/>
              </w:rPr>
              <w:t>Option 1:</w:t>
            </w:r>
          </w:p>
          <w:p>
            <w:pPr>
              <w:pStyle w:val="34"/>
              <w:keepNext/>
              <w:numPr>
                <w:ilvl w:val="1"/>
                <w:numId w:val="10"/>
              </w:numPr>
              <w:overflowPunct/>
              <w:autoSpaceDE/>
              <w:autoSpaceDN/>
              <w:adjustRightIn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Defining</w:t>
            </w:r>
            <w:r>
              <w:rPr>
                <w:rFonts w:eastAsia="PMingLiU"/>
                <w:sz w:val="20"/>
                <w:szCs w:val="20"/>
                <w:highlight w:val="none"/>
                <w:lang w:eastAsia="zh-TW"/>
              </w:rPr>
              <w:t xml:space="preserve"> EIS</w:t>
            </w:r>
            <w:r>
              <w:rPr>
                <w:rFonts w:eastAsia="PMingLiU"/>
                <w:sz w:val="20"/>
                <w:szCs w:val="20"/>
                <w:highlight w:val="none"/>
                <w:vertAlign w:val="subscript"/>
                <w:lang w:eastAsia="zh-TW"/>
              </w:rPr>
              <w:t>REFSENS_10MHz</w:t>
            </w:r>
            <w:r>
              <w:rPr>
                <w:rFonts w:eastAsia="PMingLiU"/>
                <w:sz w:val="20"/>
                <w:szCs w:val="20"/>
                <w:highlight w:val="none"/>
                <w:lang w:eastAsia="zh-TW"/>
              </w:rPr>
              <w:t xml:space="preserve"> for </w:t>
            </w:r>
            <w:r>
              <w:rPr>
                <w:rFonts w:eastAsia="宋体"/>
                <w:sz w:val="20"/>
                <w:szCs w:val="20"/>
                <w:highlight w:val="none"/>
                <w:lang w:eastAsia="zh-CN"/>
              </w:rPr>
              <w:t>FR1-NTN Ku bands</w:t>
            </w:r>
            <w:r>
              <w:rPr>
                <w:rFonts w:hint="eastAsia" w:eastAsia="PMingLiU"/>
                <w:sz w:val="20"/>
                <w:szCs w:val="20"/>
                <w:highlight w:val="none"/>
                <w:lang w:eastAsia="zh-TW"/>
              </w:rPr>
              <w:t xml:space="preserve">, and define </w:t>
            </w:r>
            <w:r>
              <w:rPr>
                <w:rFonts w:eastAsia="PMingLiU"/>
                <w:sz w:val="20"/>
                <w:szCs w:val="20"/>
                <w:highlight w:val="none"/>
                <w:lang w:eastAsia="zh-TW"/>
              </w:rPr>
              <w:t>EIS</w:t>
            </w:r>
            <w:r>
              <w:rPr>
                <w:rFonts w:eastAsia="PMingLiU"/>
                <w:sz w:val="20"/>
                <w:szCs w:val="20"/>
                <w:highlight w:val="none"/>
                <w:vertAlign w:val="subscript"/>
                <w:lang w:eastAsia="zh-TW"/>
              </w:rPr>
              <w:t>REFSENS_50MHz</w:t>
            </w:r>
            <w:r>
              <w:rPr>
                <w:rFonts w:eastAsia="PMingLiU"/>
                <w:sz w:val="20"/>
                <w:szCs w:val="20"/>
                <w:highlight w:val="none"/>
                <w:lang w:eastAsia="zh-TW"/>
              </w:rPr>
              <w:t xml:space="preserve"> </w:t>
            </w:r>
            <w:r>
              <w:rPr>
                <w:rFonts w:hint="eastAsia" w:eastAsia="PMingLiU"/>
                <w:sz w:val="20"/>
                <w:szCs w:val="20"/>
                <w:highlight w:val="none"/>
                <w:lang w:eastAsia="zh-TW"/>
              </w:rPr>
              <w:t xml:space="preserve">for FR2-NTN Ku bands </w:t>
            </w:r>
          </w:p>
          <w:p>
            <w:pPr>
              <w:pStyle w:val="34"/>
              <w:keepNext/>
              <w:numPr>
                <w:ilvl w:val="0"/>
                <w:numId w:val="10"/>
              </w:numPr>
              <w:overflowPunct/>
              <w:autoSpaceDE/>
              <w:autoSpaceDN/>
              <w:adjustRightInd/>
              <w:spacing w:after="120" w:line="259" w:lineRule="auto"/>
              <w:ind w:firstLineChars="0"/>
              <w:textAlignment w:val="auto"/>
              <w:rPr>
                <w:sz w:val="20"/>
                <w:szCs w:val="20"/>
                <w:highlight w:val="none"/>
                <w:lang w:val="en-US"/>
              </w:rPr>
            </w:pPr>
            <w:r>
              <w:rPr>
                <w:rFonts w:hint="eastAsia" w:eastAsiaTheme="minorEastAsia"/>
                <w:sz w:val="20"/>
                <w:szCs w:val="20"/>
                <w:highlight w:val="none"/>
                <w:lang w:val="en-US" w:eastAsia="zh-TW"/>
              </w:rPr>
              <w:t>Option 2:</w:t>
            </w:r>
          </w:p>
          <w:p>
            <w:pPr>
              <w:pStyle w:val="34"/>
              <w:keepNext/>
              <w:numPr>
                <w:ilvl w:val="1"/>
                <w:numId w:val="10"/>
              </w:numPr>
              <w:overflowPunct/>
              <w:autoSpaceDE/>
              <w:autoSpaceDN/>
              <w:adjustRightInd/>
              <w:spacing w:after="120" w:line="259" w:lineRule="auto"/>
              <w:ind w:firstLineChars="0"/>
              <w:textAlignment w:val="auto"/>
              <w:rPr>
                <w:sz w:val="20"/>
                <w:szCs w:val="20"/>
                <w:highlight w:val="none"/>
                <w:lang w:val="en-US"/>
              </w:rPr>
            </w:pPr>
            <w:r>
              <w:rPr>
                <w:rFonts w:hint="eastAsia"/>
                <w:sz w:val="20"/>
                <w:szCs w:val="20"/>
                <w:highlight w:val="none"/>
                <w:lang w:val="en-US" w:eastAsia="zh-TW"/>
              </w:rPr>
              <w:t xml:space="preserve">Consider define the common EIS requirement </w:t>
            </w:r>
            <w:r>
              <w:rPr>
                <w:rFonts w:hint="eastAsia" w:eastAsia="PMingLiU"/>
                <w:sz w:val="20"/>
                <w:szCs w:val="20"/>
                <w:highlight w:val="none"/>
                <w:lang w:eastAsia="zh-TW"/>
              </w:rPr>
              <w:t xml:space="preserve">for both </w:t>
            </w:r>
            <w:r>
              <w:rPr>
                <w:rFonts w:eastAsia="宋体"/>
                <w:sz w:val="20"/>
                <w:szCs w:val="20"/>
                <w:highlight w:val="none"/>
                <w:lang w:eastAsia="zh-CN"/>
              </w:rPr>
              <w:t>FR1-NTN Ku bands</w:t>
            </w:r>
            <w:r>
              <w:rPr>
                <w:rFonts w:hint="eastAsia" w:eastAsia="宋体"/>
                <w:sz w:val="20"/>
                <w:szCs w:val="20"/>
                <w:highlight w:val="none"/>
                <w:lang w:eastAsia="zh-TW"/>
              </w:rPr>
              <w:t xml:space="preserve"> and </w:t>
            </w:r>
            <w:r>
              <w:rPr>
                <w:rFonts w:eastAsia="宋体"/>
                <w:sz w:val="20"/>
                <w:szCs w:val="20"/>
                <w:highlight w:val="none"/>
                <w:lang w:eastAsia="zh-CN"/>
              </w:rPr>
              <w:t>FR</w:t>
            </w:r>
            <w:r>
              <w:rPr>
                <w:rFonts w:hint="eastAsia" w:eastAsia="宋体"/>
                <w:sz w:val="20"/>
                <w:szCs w:val="20"/>
                <w:highlight w:val="none"/>
                <w:lang w:eastAsia="zh-TW"/>
              </w:rPr>
              <w:t>2</w:t>
            </w:r>
            <w:r>
              <w:rPr>
                <w:rFonts w:eastAsia="宋体"/>
                <w:sz w:val="20"/>
                <w:szCs w:val="20"/>
                <w:highlight w:val="none"/>
                <w:lang w:eastAsia="zh-CN"/>
              </w:rPr>
              <w:t>-NTN Ku bands</w:t>
            </w:r>
          </w:p>
          <w:p>
            <w:pPr>
              <w:pStyle w:val="34"/>
              <w:keepNext/>
              <w:numPr>
                <w:ilvl w:val="0"/>
                <w:numId w:val="10"/>
              </w:numPr>
              <w:overflowPunct/>
              <w:autoSpaceDE/>
              <w:autoSpaceDN/>
              <w:adjustRightInd/>
              <w:spacing w:after="120" w:line="259" w:lineRule="auto"/>
              <w:ind w:firstLineChars="0"/>
              <w:textAlignment w:val="auto"/>
              <w:rPr>
                <w:sz w:val="20"/>
                <w:szCs w:val="20"/>
                <w:highlight w:val="none"/>
                <w:lang w:val="en-US"/>
              </w:rPr>
            </w:pPr>
            <w:r>
              <w:rPr>
                <w:rFonts w:hint="eastAsia"/>
                <w:sz w:val="20"/>
                <w:szCs w:val="20"/>
                <w:highlight w:val="none"/>
                <w:lang w:val="en-US" w:eastAsia="zh-TW"/>
              </w:rPr>
              <w:t xml:space="preserve">FSS on the value of the </w:t>
            </w:r>
            <w:r>
              <w:rPr>
                <w:rFonts w:eastAsia="PMingLiU"/>
                <w:sz w:val="20"/>
                <w:szCs w:val="20"/>
                <w:highlight w:val="none"/>
                <w:lang w:eastAsia="zh-TW"/>
              </w:rPr>
              <w:t>EIS</w:t>
            </w:r>
            <w:r>
              <w:rPr>
                <w:rFonts w:eastAsia="PMingLiU"/>
                <w:sz w:val="20"/>
                <w:szCs w:val="20"/>
                <w:highlight w:val="none"/>
                <w:vertAlign w:val="subscript"/>
                <w:lang w:eastAsia="zh-TW"/>
              </w:rPr>
              <w:t>REFSENS_10MHz</w:t>
            </w:r>
            <w:r>
              <w:rPr>
                <w:rFonts w:hint="eastAsia" w:eastAsia="PMingLiU"/>
                <w:sz w:val="20"/>
                <w:szCs w:val="20"/>
                <w:highlight w:val="none"/>
                <w:lang w:eastAsia="zh-TW"/>
              </w:rPr>
              <w:t xml:space="preserve"> and </w:t>
            </w:r>
            <w:r>
              <w:rPr>
                <w:rFonts w:eastAsia="PMingLiU"/>
                <w:sz w:val="20"/>
                <w:szCs w:val="20"/>
                <w:highlight w:val="none"/>
                <w:lang w:eastAsia="zh-TW"/>
              </w:rPr>
              <w:t>EIS</w:t>
            </w:r>
            <w:r>
              <w:rPr>
                <w:rFonts w:eastAsia="PMingLiU"/>
                <w:sz w:val="20"/>
                <w:szCs w:val="20"/>
                <w:highlight w:val="none"/>
                <w:vertAlign w:val="subscript"/>
                <w:lang w:eastAsia="zh-TW"/>
              </w:rPr>
              <w:t>REFSENS_</w:t>
            </w:r>
            <w:r>
              <w:rPr>
                <w:rFonts w:hint="eastAsia" w:eastAsia="PMingLiU"/>
                <w:sz w:val="20"/>
                <w:szCs w:val="20"/>
                <w:highlight w:val="none"/>
                <w:vertAlign w:val="subscript"/>
                <w:lang w:eastAsia="zh-TW"/>
              </w:rPr>
              <w:t>5</w:t>
            </w:r>
            <w:r>
              <w:rPr>
                <w:rFonts w:eastAsia="PMingLiU"/>
                <w:sz w:val="20"/>
                <w:szCs w:val="20"/>
                <w:highlight w:val="none"/>
                <w:vertAlign w:val="subscript"/>
                <w:lang w:eastAsia="zh-TW"/>
              </w:rPr>
              <w:t>0MHz</w:t>
            </w:r>
            <w:r>
              <w:rPr>
                <w:rFonts w:hint="eastAsia" w:eastAsia="PMingLiU"/>
                <w:sz w:val="20"/>
                <w:szCs w:val="20"/>
                <w:highlight w:val="none"/>
                <w:lang w:eastAsia="zh-TW"/>
              </w:rPr>
              <w:t xml:space="preserve"> </w:t>
            </w:r>
          </w:p>
          <w:p>
            <w:pPr>
              <w:pStyle w:val="34"/>
              <w:keepNext/>
              <w:numPr>
                <w:ilvl w:val="0"/>
                <w:numId w:val="10"/>
              </w:numPr>
              <w:overflowPunct/>
              <w:autoSpaceDE/>
              <w:autoSpaceDN/>
              <w:adjustRightInd/>
              <w:spacing w:after="120" w:line="259" w:lineRule="auto"/>
              <w:ind w:firstLineChars="0"/>
              <w:textAlignment w:val="auto"/>
              <w:rPr>
                <w:rFonts w:hint="eastAsia"/>
                <w:sz w:val="20"/>
                <w:szCs w:val="20"/>
                <w:highlight w:val="none"/>
                <w:vertAlign w:val="baseline"/>
                <w:lang w:val="en-US" w:eastAsia="zh-CN"/>
              </w:rPr>
            </w:pPr>
            <w:r>
              <w:rPr>
                <w:rFonts w:hint="eastAsia" w:eastAsia="PMingLiU"/>
                <w:sz w:val="20"/>
                <w:szCs w:val="20"/>
                <w:highlight w:val="none"/>
                <w:lang w:eastAsia="zh-TW"/>
              </w:rPr>
              <w:t xml:space="preserve">The requirement for other </w:t>
            </w:r>
            <w:r>
              <w:rPr>
                <w:rFonts w:eastAsia="PMingLiU"/>
                <w:sz w:val="20"/>
                <w:szCs w:val="20"/>
                <w:highlight w:val="none"/>
                <w:lang w:eastAsia="zh-TW"/>
              </w:rPr>
              <w:t xml:space="preserve">channel bandwidth </w:t>
            </w:r>
            <w:r>
              <w:rPr>
                <w:rFonts w:hint="eastAsia" w:eastAsia="PMingLiU"/>
                <w:sz w:val="20"/>
                <w:szCs w:val="20"/>
                <w:highlight w:val="none"/>
                <w:lang w:eastAsia="zh-TW"/>
              </w:rPr>
              <w:t>will be scaled based on PRB based</w:t>
            </w:r>
          </w:p>
        </w:tc>
      </w:tr>
    </w:tbl>
    <w:p>
      <w:pPr>
        <w:bidi w:val="0"/>
        <w:jc w:val="both"/>
        <w:rPr>
          <w:rFonts w:hint="eastAsia"/>
          <w:b w:val="0"/>
          <w:bCs w:val="0"/>
          <w:sz w:val="20"/>
          <w:szCs w:val="18"/>
          <w:lang w:val="en-US" w:eastAsia="zh-CN"/>
        </w:rPr>
      </w:pPr>
      <w:r>
        <w:rPr>
          <w:rFonts w:hint="eastAsia"/>
          <w:b w:val="0"/>
          <w:bCs w:val="0"/>
          <w:sz w:val="20"/>
          <w:szCs w:val="18"/>
          <w:lang w:val="en-US" w:eastAsia="zh-CN"/>
        </w:rPr>
        <w:t xml:space="preserve">For OTA reference sensitivity level, it is channel bandwidth dependent. In current spec, it specifies the minimum EIS for 50MHz channel bandwidth, and for other channel bandwidths larger than 50MHz, the corresponding EIS requirement could be scaled with PRB based compared with 50MHz. For FR1-NTN Ku bands and FR2-NTN Ku bands with the same frequency range, they share the same requirements. For simplification, we prefer to define the common EIS requirement for both FR1-NTN Ku bands and FR2-NTN Ku bands. </w:t>
      </w:r>
    </w:p>
    <w:p>
      <w:pPr>
        <w:bidi w:val="0"/>
        <w:jc w:val="both"/>
        <w:rPr>
          <w:rFonts w:hint="eastAsia"/>
          <w:b w:val="0"/>
          <w:bCs w:val="0"/>
          <w:sz w:val="20"/>
          <w:szCs w:val="18"/>
          <w:lang w:val="en-US" w:eastAsia="zh-CN"/>
        </w:rPr>
      </w:pPr>
      <w:r>
        <w:rPr>
          <w:rFonts w:hint="eastAsia"/>
          <w:b/>
          <w:bCs/>
          <w:sz w:val="20"/>
          <w:szCs w:val="20"/>
          <w:lang w:val="en-US" w:eastAsia="zh-CN"/>
        </w:rPr>
        <w:t>Proposal 2: Define the common EIS requirement for both FR1-NTN Ku bands and FR2-NTN Ku bands</w:t>
      </w:r>
    </w:p>
    <w:p>
      <w:pPr>
        <w:bidi w:val="0"/>
        <w:jc w:val="both"/>
        <w:rPr>
          <w:rFonts w:hint="eastAsia"/>
          <w:b w:val="0"/>
          <w:bCs w:val="0"/>
          <w:sz w:val="20"/>
          <w:szCs w:val="18"/>
          <w:lang w:val="en-US" w:eastAsia="zh-CN"/>
        </w:rPr>
      </w:pPr>
      <w:r>
        <w:rPr>
          <w:rFonts w:hint="eastAsia"/>
          <w:b w:val="0"/>
          <w:bCs w:val="0"/>
          <w:sz w:val="20"/>
          <w:szCs w:val="18"/>
          <w:lang w:val="en-US" w:eastAsia="zh-CN"/>
        </w:rPr>
        <w:t>In addition, during Ka band discussion, it defines the minimum EIS based on the link budget [3][4][5]. For Ku band, we can use the same approach to define the minimum EIS. To guarantee the VSAT to access the cell with low data rate and narrow channel bandwidth, we can assume 10MHz channel bandwidth derive the requirement. The calculation can be found in the following table.</w:t>
      </w:r>
    </w:p>
    <w:p>
      <w:pPr>
        <w:bidi w:val="0"/>
        <w:jc w:val="center"/>
        <w:rPr>
          <w:rFonts w:hint="default" w:ascii="Arial" w:hAnsi="Arial" w:eastAsia="宋体" w:cs="Times New Roman"/>
          <w:b/>
          <w:kern w:val="2"/>
          <w:sz w:val="21"/>
          <w:lang w:val="en-US" w:eastAsia="zh-CN" w:bidi="ar-SA"/>
        </w:rPr>
      </w:pPr>
      <w:r>
        <w:rPr>
          <w:rFonts w:hint="eastAsia" w:ascii="Arial" w:hAnsi="Arial" w:eastAsia="宋体" w:cs="Times New Roman"/>
          <w:b/>
          <w:kern w:val="2"/>
          <w:sz w:val="21"/>
          <w:lang w:val="en-US" w:eastAsia="zh-CN" w:bidi="ar-SA"/>
        </w:rPr>
        <w:t>Table</w:t>
      </w:r>
      <w:r>
        <w:rPr>
          <w:rFonts w:hint="eastAsia" w:ascii="Arial" w:hAnsi="Arial" w:cs="Times New Roman"/>
          <w:b/>
          <w:kern w:val="2"/>
          <w:sz w:val="21"/>
          <w:lang w:val="en-US" w:eastAsia="zh-CN" w:bidi="ar-SA"/>
        </w:rPr>
        <w:t xml:space="preserve"> 2.2-1: The minimum EIS calculation</w:t>
      </w:r>
    </w:p>
    <w:tbl>
      <w:tblPr>
        <w:tblStyle w:val="23"/>
        <w:tblW w:w="7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11"/>
        <w:gridCol w:w="1164"/>
        <w:gridCol w:w="1121"/>
        <w:gridCol w:w="1121"/>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rPr>
            </w:pPr>
          </w:p>
        </w:tc>
        <w:tc>
          <w:tcPr>
            <w:tcW w:w="22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G</w:t>
            </w:r>
            <w:r>
              <w:rPr>
                <w:rFonts w:hint="eastAsia" w:cs="Times New Roman"/>
                <w:b/>
                <w:bCs/>
                <w:i w:val="0"/>
                <w:iCs w:val="0"/>
                <w:color w:val="000000"/>
                <w:kern w:val="0"/>
                <w:sz w:val="20"/>
                <w:szCs w:val="20"/>
                <w:u w:val="none"/>
                <w:lang w:val="en-US" w:eastAsia="zh-CN" w:bidi="ar"/>
              </w:rPr>
              <w:t>S</w:t>
            </w:r>
            <w:r>
              <w:rPr>
                <w:rFonts w:hint="default" w:ascii="Times New Roman" w:hAnsi="Times New Roman" w:eastAsia="宋体" w:cs="Times New Roman"/>
                <w:b/>
                <w:bCs/>
                <w:i w:val="0"/>
                <w:iCs w:val="0"/>
                <w:color w:val="000000"/>
                <w:kern w:val="0"/>
                <w:sz w:val="20"/>
                <w:szCs w:val="20"/>
                <w:u w:val="none"/>
                <w:lang w:val="en-US" w:eastAsia="zh-CN" w:bidi="ar"/>
              </w:rPr>
              <w:t>O</w:t>
            </w: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204.90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204.34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 xml:space="preserve">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SAN_TxPower [dBm]</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90</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51</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54</w:t>
            </w:r>
            <w:r>
              <w:rPr>
                <w:rFonts w:hint="default"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EIS_min</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-119.92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-116.35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-123.99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-116.84 </w:t>
            </w:r>
          </w:p>
        </w:tc>
      </w:tr>
    </w:tbl>
    <w:p>
      <w:pPr>
        <w:bidi w:val="0"/>
        <w:jc w:val="both"/>
        <w:rPr>
          <w:rFonts w:hint="eastAsia"/>
          <w:b w:val="0"/>
          <w:bCs w:val="0"/>
          <w:sz w:val="20"/>
          <w:szCs w:val="18"/>
          <w:lang w:val="en-US" w:eastAsia="zh-CN"/>
        </w:rPr>
      </w:pPr>
      <w:r>
        <w:rPr>
          <w:rFonts w:hint="eastAsia"/>
          <w:b w:val="0"/>
          <w:bCs w:val="0"/>
          <w:sz w:val="20"/>
          <w:szCs w:val="18"/>
          <w:lang w:val="en-US" w:eastAsia="zh-CN"/>
        </w:rPr>
        <w:t>Based on the above analysis, the minimum EIS could be defines as -124 dBm for 50MHz, and for the other channel bandwidth the corresponding EIS requirement could be scaled with PRB based compared with 50MHz for both GSO and LEO.</w:t>
      </w:r>
    </w:p>
    <w:p>
      <w:pPr>
        <w:bidi w:val="0"/>
        <w:jc w:val="both"/>
        <w:rPr>
          <w:rFonts w:hint="default"/>
          <w:b w:val="0"/>
          <w:bCs w:val="0"/>
          <w:sz w:val="20"/>
          <w:szCs w:val="18"/>
          <w:lang w:val="en-US" w:eastAsia="zh-CN"/>
        </w:rPr>
      </w:pPr>
      <w:r>
        <w:rPr>
          <w:rFonts w:hint="eastAsia"/>
          <w:b/>
          <w:bCs/>
          <w:sz w:val="20"/>
          <w:szCs w:val="20"/>
          <w:lang w:val="en-US" w:eastAsia="zh-CN"/>
        </w:rPr>
        <w:t>Proposal 3: The minimum EIS could be defined as -124 dBm for 50MHz, and for the other channel bandwidth the corresponding EIS requirement could be scaled with PRB based compared with 50MHz for both GSO and LEO.</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sz w:val="24"/>
          <w:szCs w:val="18"/>
          <w:lang w:val="en-US" w:eastAsia="zh-CN"/>
        </w:rPr>
      </w:pPr>
      <w:r>
        <w:rPr>
          <w:rFonts w:hint="eastAsia"/>
          <w:sz w:val="24"/>
          <w:szCs w:val="18"/>
          <w:lang w:val="en-US" w:eastAsia="zh-CN"/>
        </w:rPr>
        <w:t>2.3 Maximum input level</w:t>
      </w:r>
    </w:p>
    <w:p>
      <w:pPr>
        <w:bidi w:val="0"/>
        <w:jc w:val="both"/>
        <w:rPr>
          <w:rFonts w:hint="default"/>
          <w:b w:val="0"/>
          <w:bCs w:val="0"/>
          <w:sz w:val="20"/>
          <w:szCs w:val="18"/>
          <w:lang w:val="en-US" w:eastAsia="zh-CN"/>
        </w:rPr>
      </w:pPr>
      <w:r>
        <w:rPr>
          <w:rFonts w:hint="eastAsia"/>
          <w:b w:val="0"/>
          <w:bCs w:val="0"/>
          <w:sz w:val="20"/>
          <w:szCs w:val="18"/>
          <w:lang w:val="en-US" w:eastAsia="zh-CN"/>
        </w:rPr>
        <w:t xml:space="preserve">For the maximum input level, we also can use same way as Ka band to derive the requirement, which is calculated based on the link budget. The calculation for the maximum input level is shown in the following table. The parameters used in the table is based on the coexistence simulation assumptions. </w:t>
      </w:r>
    </w:p>
    <w:p>
      <w:pPr>
        <w:bidi w:val="0"/>
        <w:jc w:val="center"/>
        <w:rPr>
          <w:rFonts w:hint="default"/>
          <w:b w:val="0"/>
          <w:bCs w:val="0"/>
          <w:sz w:val="20"/>
          <w:szCs w:val="18"/>
          <w:lang w:val="en-US" w:eastAsia="zh-CN"/>
        </w:rPr>
      </w:pPr>
      <w:r>
        <w:rPr>
          <w:rFonts w:hint="eastAsia" w:ascii="Arial" w:hAnsi="Arial" w:eastAsia="宋体" w:cs="Times New Roman"/>
          <w:b/>
          <w:kern w:val="2"/>
          <w:sz w:val="21"/>
          <w:lang w:val="en-US" w:eastAsia="zh-CN" w:bidi="ar-SA"/>
        </w:rPr>
        <w:t>Table</w:t>
      </w:r>
      <w:r>
        <w:rPr>
          <w:rFonts w:hint="eastAsia" w:ascii="Arial" w:hAnsi="Arial" w:cs="Times New Roman"/>
          <w:b/>
          <w:kern w:val="2"/>
          <w:sz w:val="21"/>
          <w:lang w:val="en-US" w:eastAsia="zh-CN" w:bidi="ar-SA"/>
        </w:rPr>
        <w:t xml:space="preserve"> 2.3-1: The maximum input level calculation</w:t>
      </w:r>
    </w:p>
    <w:tbl>
      <w:tblPr>
        <w:tblStyle w:val="23"/>
        <w:tblW w:w="71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65"/>
        <w:gridCol w:w="1121"/>
        <w:gridCol w:w="1121"/>
        <w:gridCol w:w="1242"/>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beforeLines="0" w:afterLines="0" w:line="240" w:lineRule="auto"/>
              <w:rPr>
                <w:rFonts w:hint="default" w:ascii="Times New Roman" w:hAnsi="Times New Roman" w:eastAsia="宋体" w:cs="Times New Roman"/>
                <w:i w:val="0"/>
                <w:iCs w:val="0"/>
                <w:color w:val="000000"/>
                <w:sz w:val="20"/>
                <w:szCs w:val="20"/>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GSO</w:t>
            </w:r>
          </w:p>
        </w:tc>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204.90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204.34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 xml:space="preserve">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SAN_TxPower [dBm]</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w:t>
            </w: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90</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51</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54</w:t>
            </w:r>
            <w:r>
              <w:rPr>
                <w:rFonts w:hint="default"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Lines="0" w:afterLines="0" w:line="240" w:lineRule="auto"/>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MaxInputPower</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-119.92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-116.35 </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-123.99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-116.84 </w:t>
            </w:r>
          </w:p>
        </w:tc>
      </w:tr>
    </w:tbl>
    <w:p>
      <w:pPr>
        <w:rPr>
          <w:rFonts w:hint="eastAsia"/>
          <w:b/>
          <w:bCs/>
          <w:sz w:val="20"/>
          <w:szCs w:val="20"/>
          <w:lang w:val="en-US" w:eastAsia="zh-CN"/>
        </w:rPr>
      </w:pPr>
      <w:r>
        <w:rPr>
          <w:rFonts w:hint="eastAsia"/>
          <w:b/>
          <w:bCs/>
          <w:sz w:val="20"/>
          <w:szCs w:val="20"/>
          <w:lang w:val="en-US" w:eastAsia="zh-CN"/>
        </w:rPr>
        <w:t>Proposal 4: To consider the maximum input level -116 dBm for all channel bandwidths for Ku bands.</w:t>
      </w:r>
    </w:p>
    <w:p>
      <w:pPr>
        <w:rPr>
          <w:rFonts w:hint="default"/>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bCs/>
          <w:sz w:val="20"/>
          <w:szCs w:val="20"/>
          <w:lang w:val="en-US" w:eastAsia="zh-CN"/>
        </w:rPr>
      </w:pPr>
      <w:r>
        <w:rPr>
          <w:rFonts w:hint="eastAsia"/>
          <w:b/>
          <w:bCs/>
          <w:sz w:val="20"/>
          <w:szCs w:val="20"/>
          <w:lang w:val="en-US" w:eastAsia="zh-CN"/>
        </w:rPr>
        <w:t>Proposal 1: It is proposed to use the same NS number for FR1-NTN Ku bands and FR2-NTN Ku bands with the same frequency range as follows.</w:t>
      </w:r>
    </w:p>
    <w:p>
      <w:pPr>
        <w:pStyle w:val="34"/>
        <w:numPr>
          <w:ilvl w:val="0"/>
          <w:numId w:val="11"/>
        </w:numPr>
        <w:spacing w:after="0"/>
        <w:rPr>
          <w:b/>
          <w:bCs/>
          <w:sz w:val="20"/>
          <w:szCs w:val="20"/>
          <w:lang w:val="en-GB"/>
        </w:rPr>
      </w:pPr>
      <w:r>
        <w:rPr>
          <w:rFonts w:hint="eastAsia" w:eastAsia="宋体"/>
          <w:b/>
          <w:bCs/>
          <w:sz w:val="20"/>
          <w:szCs w:val="20"/>
          <w:lang w:val="en-US" w:eastAsia="zh-CN"/>
        </w:rPr>
        <w:t>For</w:t>
      </w:r>
      <w:r>
        <w:rPr>
          <w:b/>
          <w:bCs/>
          <w:sz w:val="20"/>
          <w:szCs w:val="20"/>
          <w:lang w:val="en-GB"/>
        </w:rPr>
        <w:t xml:space="preserve"> </w:t>
      </w:r>
      <w:r>
        <w:rPr>
          <w:rFonts w:hint="eastAsia" w:eastAsia="宋体"/>
          <w:b/>
          <w:bCs/>
          <w:sz w:val="20"/>
          <w:szCs w:val="20"/>
          <w:lang w:val="en-US" w:eastAsia="zh-CN"/>
        </w:rPr>
        <w:t>bands n509 and n248</w:t>
      </w:r>
      <w:r>
        <w:rPr>
          <w:b/>
          <w:bCs/>
          <w:sz w:val="20"/>
          <w:szCs w:val="20"/>
          <w:lang w:val="en-GB"/>
        </w:rPr>
        <w:t xml:space="preserve">: </w:t>
      </w:r>
    </w:p>
    <w:p>
      <w:pPr>
        <w:pStyle w:val="34"/>
        <w:numPr>
          <w:ilvl w:val="1"/>
          <w:numId w:val="11"/>
        </w:numPr>
        <w:spacing w:after="0"/>
        <w:rPr>
          <w:b/>
          <w:bCs/>
          <w:sz w:val="20"/>
          <w:szCs w:val="20"/>
          <w:lang w:val="en-GB"/>
        </w:rPr>
      </w:pPr>
      <w:r>
        <w:rPr>
          <w:b/>
          <w:bCs/>
          <w:sz w:val="20"/>
          <w:szCs w:val="20"/>
          <w:lang w:val="en-GB"/>
        </w:rPr>
        <w:t>NS_203N: to handle FCC Regulation</w:t>
      </w:r>
      <w:r>
        <w:rPr>
          <w:rFonts w:hint="eastAsia" w:eastAsia="宋体"/>
          <w:b/>
          <w:bCs/>
          <w:sz w:val="20"/>
          <w:szCs w:val="20"/>
          <w:lang w:val="en-US" w:eastAsia="zh-CN"/>
        </w:rPr>
        <w:t xml:space="preserve"> for GSO</w:t>
      </w:r>
      <w:r>
        <w:rPr>
          <w:b/>
          <w:bCs/>
          <w:sz w:val="20"/>
          <w:szCs w:val="20"/>
          <w:lang w:val="en-GB"/>
        </w:rPr>
        <w:t>.</w:t>
      </w:r>
    </w:p>
    <w:p>
      <w:pPr>
        <w:pStyle w:val="34"/>
        <w:numPr>
          <w:ilvl w:val="1"/>
          <w:numId w:val="11"/>
        </w:numPr>
        <w:spacing w:after="0"/>
        <w:rPr>
          <w:rFonts w:hint="eastAsia"/>
          <w:b/>
          <w:bCs/>
          <w:sz w:val="20"/>
          <w:szCs w:val="20"/>
          <w:lang w:val="en-US" w:eastAsia="zh-CN"/>
        </w:rPr>
      </w:pPr>
      <w:r>
        <w:rPr>
          <w:b/>
          <w:bCs/>
          <w:sz w:val="20"/>
          <w:szCs w:val="20"/>
          <w:lang w:val="en-GB"/>
        </w:rPr>
        <w:t xml:space="preserve">NS_204N: to handle </w:t>
      </w:r>
      <w:r>
        <w:rPr>
          <w:rFonts w:hint="eastAsia" w:eastAsia="宋体"/>
          <w:b/>
          <w:bCs/>
          <w:sz w:val="20"/>
          <w:szCs w:val="20"/>
          <w:lang w:val="en-US" w:eastAsia="zh-CN"/>
        </w:rPr>
        <w:t>FCC</w:t>
      </w:r>
      <w:r>
        <w:rPr>
          <w:b/>
          <w:bCs/>
          <w:sz w:val="20"/>
          <w:szCs w:val="20"/>
          <w:lang w:val="en-GB"/>
        </w:rPr>
        <w:t xml:space="preserve"> Regulation</w:t>
      </w:r>
      <w:r>
        <w:rPr>
          <w:rFonts w:hint="eastAsia" w:eastAsia="宋体"/>
          <w:b/>
          <w:bCs/>
          <w:sz w:val="20"/>
          <w:szCs w:val="20"/>
          <w:lang w:val="en-US" w:eastAsia="zh-CN"/>
        </w:rPr>
        <w:t xml:space="preserve"> for LEO</w:t>
      </w:r>
      <w:r>
        <w:rPr>
          <w:b/>
          <w:bCs/>
          <w:sz w:val="20"/>
          <w:szCs w:val="20"/>
          <w:lang w:val="en-GB"/>
        </w:rPr>
        <w:t>.</w:t>
      </w:r>
    </w:p>
    <w:p>
      <w:pPr>
        <w:pStyle w:val="34"/>
        <w:numPr>
          <w:ilvl w:val="1"/>
          <w:numId w:val="11"/>
        </w:numPr>
        <w:spacing w:after="0"/>
        <w:rPr>
          <w:b/>
          <w:bCs/>
          <w:sz w:val="20"/>
          <w:szCs w:val="20"/>
          <w:lang w:val="en-GB"/>
        </w:rPr>
      </w:pPr>
      <w:r>
        <w:rPr>
          <w:b/>
          <w:bCs/>
          <w:sz w:val="20"/>
          <w:szCs w:val="20"/>
          <w:lang w:val="en-GB"/>
        </w:rPr>
        <w:t>NS_20</w:t>
      </w:r>
      <w:r>
        <w:rPr>
          <w:rFonts w:hint="eastAsia" w:eastAsia="宋体"/>
          <w:b/>
          <w:bCs/>
          <w:sz w:val="20"/>
          <w:szCs w:val="20"/>
          <w:lang w:val="en-US" w:eastAsia="zh-CN"/>
        </w:rPr>
        <w:t>5</w:t>
      </w:r>
      <w:r>
        <w:rPr>
          <w:b/>
          <w:bCs/>
          <w:sz w:val="20"/>
          <w:szCs w:val="20"/>
          <w:lang w:val="en-GB"/>
        </w:rPr>
        <w:t xml:space="preserve">N: to handle </w:t>
      </w:r>
      <w:r>
        <w:rPr>
          <w:rFonts w:hint="eastAsia" w:eastAsia="宋体"/>
          <w:b/>
          <w:bCs/>
          <w:sz w:val="20"/>
          <w:szCs w:val="20"/>
          <w:lang w:val="en-US" w:eastAsia="zh-CN"/>
        </w:rPr>
        <w:t>CEPT</w:t>
      </w:r>
      <w:r>
        <w:rPr>
          <w:b/>
          <w:bCs/>
          <w:sz w:val="20"/>
          <w:szCs w:val="20"/>
          <w:lang w:val="en-GB"/>
        </w:rPr>
        <w:t xml:space="preserve"> Regulation</w:t>
      </w:r>
      <w:r>
        <w:rPr>
          <w:rFonts w:hint="eastAsia" w:eastAsia="宋体"/>
          <w:b/>
          <w:bCs/>
          <w:sz w:val="20"/>
          <w:szCs w:val="20"/>
          <w:lang w:val="en-US" w:eastAsia="zh-CN"/>
        </w:rPr>
        <w:t xml:space="preserve"> for GSO</w:t>
      </w:r>
      <w:r>
        <w:rPr>
          <w:b/>
          <w:bCs/>
          <w:sz w:val="20"/>
          <w:szCs w:val="20"/>
          <w:lang w:val="en-GB"/>
        </w:rPr>
        <w:t>.</w:t>
      </w:r>
    </w:p>
    <w:p>
      <w:pPr>
        <w:pStyle w:val="34"/>
        <w:numPr>
          <w:ilvl w:val="1"/>
          <w:numId w:val="11"/>
        </w:numPr>
        <w:spacing w:after="0"/>
        <w:rPr>
          <w:rFonts w:hint="eastAsia"/>
          <w:b/>
          <w:bCs/>
          <w:sz w:val="20"/>
          <w:szCs w:val="20"/>
          <w:lang w:val="en-US" w:eastAsia="zh-CN"/>
        </w:rPr>
      </w:pPr>
      <w:r>
        <w:rPr>
          <w:b/>
          <w:bCs/>
          <w:sz w:val="20"/>
          <w:szCs w:val="20"/>
          <w:lang w:val="en-GB"/>
        </w:rPr>
        <w:t>NS_20</w:t>
      </w:r>
      <w:r>
        <w:rPr>
          <w:rFonts w:hint="eastAsia" w:eastAsia="宋体"/>
          <w:b/>
          <w:bCs/>
          <w:sz w:val="20"/>
          <w:szCs w:val="20"/>
          <w:lang w:val="en-US" w:eastAsia="zh-CN"/>
        </w:rPr>
        <w:t>6</w:t>
      </w:r>
      <w:r>
        <w:rPr>
          <w:b/>
          <w:bCs/>
          <w:sz w:val="20"/>
          <w:szCs w:val="20"/>
          <w:lang w:val="en-GB"/>
        </w:rPr>
        <w:t>N: to handle CEPT Regulation</w:t>
      </w:r>
      <w:r>
        <w:rPr>
          <w:rFonts w:hint="eastAsia" w:eastAsia="宋体"/>
          <w:b/>
          <w:bCs/>
          <w:sz w:val="20"/>
          <w:szCs w:val="20"/>
          <w:lang w:val="en-US" w:eastAsia="zh-CN"/>
        </w:rPr>
        <w:t xml:space="preserve"> for LEO</w:t>
      </w:r>
      <w:r>
        <w:rPr>
          <w:b/>
          <w:bCs/>
          <w:sz w:val="20"/>
          <w:szCs w:val="20"/>
          <w:lang w:val="en-GB"/>
        </w:rPr>
        <w:t>.</w:t>
      </w:r>
    </w:p>
    <w:p>
      <w:pPr>
        <w:bidi w:val="0"/>
        <w:jc w:val="both"/>
        <w:rPr>
          <w:rFonts w:hint="eastAsia"/>
          <w:b w:val="0"/>
          <w:bCs w:val="0"/>
          <w:sz w:val="20"/>
          <w:szCs w:val="18"/>
          <w:lang w:val="en-US" w:eastAsia="zh-CN"/>
        </w:rPr>
      </w:pPr>
      <w:r>
        <w:rPr>
          <w:rFonts w:hint="eastAsia"/>
          <w:b/>
          <w:bCs/>
          <w:sz w:val="20"/>
          <w:szCs w:val="20"/>
          <w:lang w:val="en-US" w:eastAsia="zh-CN"/>
        </w:rPr>
        <w:t>Proposal 2: Define the common EIS requirement for both FR1-NTN Ku bands and FR2-NTN Ku bands</w:t>
      </w:r>
    </w:p>
    <w:p>
      <w:pPr>
        <w:bidi w:val="0"/>
        <w:jc w:val="both"/>
        <w:rPr>
          <w:rFonts w:hint="default"/>
          <w:b w:val="0"/>
          <w:bCs w:val="0"/>
          <w:sz w:val="20"/>
          <w:szCs w:val="18"/>
          <w:lang w:val="en-US" w:eastAsia="zh-CN"/>
        </w:rPr>
      </w:pPr>
      <w:r>
        <w:rPr>
          <w:rFonts w:hint="eastAsia"/>
          <w:b/>
          <w:bCs/>
          <w:sz w:val="20"/>
          <w:szCs w:val="20"/>
          <w:lang w:val="en-US" w:eastAsia="zh-CN"/>
        </w:rPr>
        <w:t>Proposal 3: The minimum EIS could be defined as -124 dBm for 50MHz, and for the other channel bandwidth the corresponding EIS requirement could be scaled with PRB based compared with 50MHz for both GSO and LEO.</w:t>
      </w:r>
    </w:p>
    <w:p>
      <w:pPr>
        <w:rPr>
          <w:rFonts w:hint="eastAsia"/>
          <w:b/>
          <w:bCs/>
          <w:sz w:val="20"/>
          <w:szCs w:val="20"/>
          <w:lang w:val="en-US" w:eastAsia="zh-CN"/>
        </w:rPr>
      </w:pPr>
      <w:r>
        <w:rPr>
          <w:rFonts w:hint="eastAsia"/>
          <w:b/>
          <w:bCs/>
          <w:sz w:val="20"/>
          <w:szCs w:val="20"/>
          <w:lang w:val="en-US" w:eastAsia="zh-CN"/>
        </w:rPr>
        <w:t>Proposal 4: To consider the maximum input level -116 dBm for all channel bandwidths for Ku bands.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RP-250799, Revised WID: Introduction of Ku bands for NR NTN, Intelsat et al.</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R4-250</w:t>
      </w:r>
      <w:r>
        <w:rPr>
          <w:rFonts w:hint="eastAsia"/>
          <w:color w:val="auto"/>
          <w:lang w:val="en-US" w:eastAsia="zh-CN"/>
        </w:rPr>
        <w:t>4720, Way Forward for [114bis][314] NR_NTN_Ku_Band_UE_SAN_RF, Moderator (CHTTL)</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R4-2402522</w:t>
      </w:r>
      <w:r>
        <w:rPr>
          <w:rFonts w:hint="eastAsia"/>
          <w:color w:val="auto"/>
          <w:lang w:val="en-US" w:eastAsia="zh-CN"/>
        </w:rPr>
        <w:t>, Further discussion on UE RF Rx requirements for NTN in Ka-band, ZTE Corporation</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R4-240</w:t>
      </w:r>
      <w:r>
        <w:rPr>
          <w:rFonts w:hint="eastAsia"/>
          <w:color w:val="auto"/>
          <w:lang w:val="en-US" w:eastAsia="zh-CN"/>
        </w:rPr>
        <w:t>564</w:t>
      </w:r>
      <w:r>
        <w:rPr>
          <w:rFonts w:hint="default"/>
          <w:color w:val="auto"/>
          <w:lang w:val="en-US" w:eastAsia="zh-CN"/>
        </w:rPr>
        <w:t>2</w:t>
      </w:r>
      <w:r>
        <w:rPr>
          <w:rFonts w:hint="eastAsia"/>
          <w:color w:val="auto"/>
          <w:lang w:val="en-US" w:eastAsia="zh-CN"/>
        </w:rPr>
        <w:t>, Further discussion on UE RF Rx requirements for NTN in Ka-band, ZTE Corporation</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R4-2402063</w:t>
      </w:r>
      <w:r>
        <w:rPr>
          <w:rFonts w:hint="eastAsia"/>
          <w:color w:val="auto"/>
          <w:lang w:val="en-US" w:eastAsia="zh-CN"/>
        </w:rPr>
        <w:t>, Discussion on Rx requirement for Ka band NTN UE, Huawei, HiSilicon</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4DE20C30"/>
    <w:multiLevelType w:val="multilevel"/>
    <w:tmpl w:val="4DE20C30"/>
    <w:lvl w:ilvl="0" w:tentative="0">
      <w:start w:val="25"/>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0"/>
  </w:num>
  <w:num w:numId="3">
    <w:abstractNumId w:val="8"/>
  </w:num>
  <w:num w:numId="4">
    <w:abstractNumId w:val="4"/>
  </w:num>
  <w:num w:numId="5">
    <w:abstractNumId w:val="5"/>
  </w:num>
  <w:num w:numId="6">
    <w:abstractNumId w:val="1"/>
  </w:num>
  <w:num w:numId="7">
    <w:abstractNumId w:val="0"/>
  </w:num>
  <w:num w:numId="8">
    <w:abstractNumId w:val="11"/>
  </w:num>
  <w:num w:numId="9">
    <w:abstractNumId w:val="3"/>
  </w:num>
  <w:num w:numId="10">
    <w:abstractNumId w:val="7"/>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EE28B6"/>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5177"/>
    <w:rsid w:val="01101B26"/>
    <w:rsid w:val="011A0B49"/>
    <w:rsid w:val="013E51BE"/>
    <w:rsid w:val="014A0623"/>
    <w:rsid w:val="01536583"/>
    <w:rsid w:val="0156475D"/>
    <w:rsid w:val="015D3EF3"/>
    <w:rsid w:val="016112D3"/>
    <w:rsid w:val="0165788D"/>
    <w:rsid w:val="01757513"/>
    <w:rsid w:val="01764F01"/>
    <w:rsid w:val="018107C9"/>
    <w:rsid w:val="0183684B"/>
    <w:rsid w:val="01854FE9"/>
    <w:rsid w:val="018A47AD"/>
    <w:rsid w:val="018E207B"/>
    <w:rsid w:val="0190283E"/>
    <w:rsid w:val="019C544F"/>
    <w:rsid w:val="019D155B"/>
    <w:rsid w:val="01A428BB"/>
    <w:rsid w:val="01AE307F"/>
    <w:rsid w:val="01B3282A"/>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1F6093"/>
    <w:rsid w:val="022D4A6E"/>
    <w:rsid w:val="023512AC"/>
    <w:rsid w:val="023B0A39"/>
    <w:rsid w:val="023C78A7"/>
    <w:rsid w:val="023F3FD3"/>
    <w:rsid w:val="02444B7E"/>
    <w:rsid w:val="024A5964"/>
    <w:rsid w:val="024B023C"/>
    <w:rsid w:val="024D6B6A"/>
    <w:rsid w:val="024E43D4"/>
    <w:rsid w:val="02510B5E"/>
    <w:rsid w:val="02566C17"/>
    <w:rsid w:val="025829A1"/>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73886"/>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225C3"/>
    <w:rsid w:val="03147E4E"/>
    <w:rsid w:val="03187492"/>
    <w:rsid w:val="031A08DB"/>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B066B"/>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16CF5"/>
    <w:rsid w:val="04CF6607"/>
    <w:rsid w:val="04D46535"/>
    <w:rsid w:val="04DA1A87"/>
    <w:rsid w:val="04DC0F32"/>
    <w:rsid w:val="04DE2DA3"/>
    <w:rsid w:val="04DF3C0B"/>
    <w:rsid w:val="04EB6DF8"/>
    <w:rsid w:val="04FA3A76"/>
    <w:rsid w:val="04FF1C94"/>
    <w:rsid w:val="04FF33CD"/>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B3F2F"/>
    <w:rsid w:val="059D265F"/>
    <w:rsid w:val="059E1515"/>
    <w:rsid w:val="05AD1B88"/>
    <w:rsid w:val="05B92EC1"/>
    <w:rsid w:val="05D05BD2"/>
    <w:rsid w:val="05DB542B"/>
    <w:rsid w:val="05E078B3"/>
    <w:rsid w:val="05E942A3"/>
    <w:rsid w:val="05EA759F"/>
    <w:rsid w:val="05EE6827"/>
    <w:rsid w:val="0601277E"/>
    <w:rsid w:val="060A2EF6"/>
    <w:rsid w:val="060C5AED"/>
    <w:rsid w:val="06103146"/>
    <w:rsid w:val="06172561"/>
    <w:rsid w:val="061E54DA"/>
    <w:rsid w:val="061E5E22"/>
    <w:rsid w:val="06223FD1"/>
    <w:rsid w:val="062B2FCF"/>
    <w:rsid w:val="063E31D0"/>
    <w:rsid w:val="063F63E4"/>
    <w:rsid w:val="06460B91"/>
    <w:rsid w:val="064E3838"/>
    <w:rsid w:val="0654187C"/>
    <w:rsid w:val="065475DE"/>
    <w:rsid w:val="06556C03"/>
    <w:rsid w:val="06676354"/>
    <w:rsid w:val="066E5330"/>
    <w:rsid w:val="06782F84"/>
    <w:rsid w:val="067C28D6"/>
    <w:rsid w:val="068A55C2"/>
    <w:rsid w:val="068E06BC"/>
    <w:rsid w:val="069201CB"/>
    <w:rsid w:val="06956E2E"/>
    <w:rsid w:val="06A73E04"/>
    <w:rsid w:val="06AC7765"/>
    <w:rsid w:val="06B62C91"/>
    <w:rsid w:val="06B741D9"/>
    <w:rsid w:val="06B756E7"/>
    <w:rsid w:val="06C457B6"/>
    <w:rsid w:val="06CA5532"/>
    <w:rsid w:val="06CD4A70"/>
    <w:rsid w:val="06DC48B6"/>
    <w:rsid w:val="06DF4C13"/>
    <w:rsid w:val="06E7678C"/>
    <w:rsid w:val="06EC7519"/>
    <w:rsid w:val="06F42A88"/>
    <w:rsid w:val="06F801C0"/>
    <w:rsid w:val="06FF7387"/>
    <w:rsid w:val="070644A9"/>
    <w:rsid w:val="070E5E48"/>
    <w:rsid w:val="07105178"/>
    <w:rsid w:val="0712124C"/>
    <w:rsid w:val="071C13A8"/>
    <w:rsid w:val="073D143C"/>
    <w:rsid w:val="074454BD"/>
    <w:rsid w:val="074855FD"/>
    <w:rsid w:val="075B2E87"/>
    <w:rsid w:val="07627CA0"/>
    <w:rsid w:val="076319C4"/>
    <w:rsid w:val="076925D2"/>
    <w:rsid w:val="077241E3"/>
    <w:rsid w:val="07734FD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43BE1"/>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2317E4"/>
    <w:rsid w:val="0A335AB8"/>
    <w:rsid w:val="0A355EAA"/>
    <w:rsid w:val="0A3708FF"/>
    <w:rsid w:val="0A3B01F9"/>
    <w:rsid w:val="0A3F0488"/>
    <w:rsid w:val="0A402A36"/>
    <w:rsid w:val="0A4236A3"/>
    <w:rsid w:val="0A4E7EF5"/>
    <w:rsid w:val="0A522AF4"/>
    <w:rsid w:val="0A596130"/>
    <w:rsid w:val="0A627392"/>
    <w:rsid w:val="0A646846"/>
    <w:rsid w:val="0A6B3DAF"/>
    <w:rsid w:val="0A7B4D83"/>
    <w:rsid w:val="0A7C1440"/>
    <w:rsid w:val="0A817CBD"/>
    <w:rsid w:val="0A8251CA"/>
    <w:rsid w:val="0A8828AB"/>
    <w:rsid w:val="0A927DC1"/>
    <w:rsid w:val="0A951165"/>
    <w:rsid w:val="0A9B4F7F"/>
    <w:rsid w:val="0A9C263A"/>
    <w:rsid w:val="0A9D54CD"/>
    <w:rsid w:val="0A9E3D3D"/>
    <w:rsid w:val="0AA077E0"/>
    <w:rsid w:val="0AA5327C"/>
    <w:rsid w:val="0ABF16D7"/>
    <w:rsid w:val="0AC01F88"/>
    <w:rsid w:val="0AC0212C"/>
    <w:rsid w:val="0AC17420"/>
    <w:rsid w:val="0AC3085F"/>
    <w:rsid w:val="0AD542C1"/>
    <w:rsid w:val="0ADD5A20"/>
    <w:rsid w:val="0AE10FD9"/>
    <w:rsid w:val="0AF13898"/>
    <w:rsid w:val="0AFA298B"/>
    <w:rsid w:val="0AFB3228"/>
    <w:rsid w:val="0AFC6C07"/>
    <w:rsid w:val="0AFD25E6"/>
    <w:rsid w:val="0AFF6A66"/>
    <w:rsid w:val="0B0130D7"/>
    <w:rsid w:val="0B0250FD"/>
    <w:rsid w:val="0B0331F5"/>
    <w:rsid w:val="0B0F025C"/>
    <w:rsid w:val="0B1A6333"/>
    <w:rsid w:val="0B267BFC"/>
    <w:rsid w:val="0B2713F4"/>
    <w:rsid w:val="0B2D2F43"/>
    <w:rsid w:val="0B334367"/>
    <w:rsid w:val="0B3B1BC1"/>
    <w:rsid w:val="0B3B5196"/>
    <w:rsid w:val="0B3D701F"/>
    <w:rsid w:val="0B3E7DD7"/>
    <w:rsid w:val="0B491629"/>
    <w:rsid w:val="0B4B40F9"/>
    <w:rsid w:val="0B554398"/>
    <w:rsid w:val="0B561995"/>
    <w:rsid w:val="0B5C2C2A"/>
    <w:rsid w:val="0B6148D2"/>
    <w:rsid w:val="0B665E0A"/>
    <w:rsid w:val="0B680DC4"/>
    <w:rsid w:val="0B6F6271"/>
    <w:rsid w:val="0B7C0E60"/>
    <w:rsid w:val="0B847B39"/>
    <w:rsid w:val="0B987E20"/>
    <w:rsid w:val="0B9E71DF"/>
    <w:rsid w:val="0BA65BCD"/>
    <w:rsid w:val="0BAD5CC5"/>
    <w:rsid w:val="0BAD5EDC"/>
    <w:rsid w:val="0BAF59B9"/>
    <w:rsid w:val="0BB524B8"/>
    <w:rsid w:val="0BB756DF"/>
    <w:rsid w:val="0BC63DB2"/>
    <w:rsid w:val="0BCC4043"/>
    <w:rsid w:val="0BCC4B6A"/>
    <w:rsid w:val="0BD66314"/>
    <w:rsid w:val="0BE2291A"/>
    <w:rsid w:val="0C07043D"/>
    <w:rsid w:val="0C0B2EA8"/>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74EE1"/>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BB2DE4"/>
    <w:rsid w:val="0DCC3AE8"/>
    <w:rsid w:val="0DD87842"/>
    <w:rsid w:val="0DDB2C34"/>
    <w:rsid w:val="0DDE2885"/>
    <w:rsid w:val="0DEF012A"/>
    <w:rsid w:val="0DF202E1"/>
    <w:rsid w:val="0DF53CE3"/>
    <w:rsid w:val="0DFC6867"/>
    <w:rsid w:val="0E0961C5"/>
    <w:rsid w:val="0E0C6AA6"/>
    <w:rsid w:val="0E147898"/>
    <w:rsid w:val="0E160A2D"/>
    <w:rsid w:val="0E264DDB"/>
    <w:rsid w:val="0E2F216B"/>
    <w:rsid w:val="0E327317"/>
    <w:rsid w:val="0E3352C6"/>
    <w:rsid w:val="0E360EDA"/>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D7627B"/>
    <w:rsid w:val="0EEC6F1D"/>
    <w:rsid w:val="0F0621F6"/>
    <w:rsid w:val="0F084F33"/>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CF4195"/>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6D650E"/>
    <w:rsid w:val="107407B6"/>
    <w:rsid w:val="10786F12"/>
    <w:rsid w:val="107C3E2C"/>
    <w:rsid w:val="107D41AE"/>
    <w:rsid w:val="1089095C"/>
    <w:rsid w:val="108C2479"/>
    <w:rsid w:val="10AC12D0"/>
    <w:rsid w:val="10B3132B"/>
    <w:rsid w:val="10B367A8"/>
    <w:rsid w:val="10C715C5"/>
    <w:rsid w:val="10D335EF"/>
    <w:rsid w:val="10E255A6"/>
    <w:rsid w:val="10E746EA"/>
    <w:rsid w:val="10E83FE0"/>
    <w:rsid w:val="10EC3168"/>
    <w:rsid w:val="10F02A44"/>
    <w:rsid w:val="10F52718"/>
    <w:rsid w:val="10F70AE6"/>
    <w:rsid w:val="10F80ADC"/>
    <w:rsid w:val="111071DE"/>
    <w:rsid w:val="11123EF8"/>
    <w:rsid w:val="11124F2E"/>
    <w:rsid w:val="11125358"/>
    <w:rsid w:val="111B69FE"/>
    <w:rsid w:val="111F38A5"/>
    <w:rsid w:val="111F6CBE"/>
    <w:rsid w:val="112D2A42"/>
    <w:rsid w:val="112D7B86"/>
    <w:rsid w:val="113A22DB"/>
    <w:rsid w:val="114028DC"/>
    <w:rsid w:val="11441C15"/>
    <w:rsid w:val="11583891"/>
    <w:rsid w:val="1159252B"/>
    <w:rsid w:val="1160765D"/>
    <w:rsid w:val="116C6652"/>
    <w:rsid w:val="116F1EB0"/>
    <w:rsid w:val="11727495"/>
    <w:rsid w:val="117A242E"/>
    <w:rsid w:val="117B1D6A"/>
    <w:rsid w:val="117C2D9D"/>
    <w:rsid w:val="117F159E"/>
    <w:rsid w:val="11821DC9"/>
    <w:rsid w:val="11824A0F"/>
    <w:rsid w:val="11897A08"/>
    <w:rsid w:val="11921373"/>
    <w:rsid w:val="119A72EE"/>
    <w:rsid w:val="119D7849"/>
    <w:rsid w:val="11A61272"/>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A65F4"/>
    <w:rsid w:val="120F1E38"/>
    <w:rsid w:val="1210682D"/>
    <w:rsid w:val="122215D3"/>
    <w:rsid w:val="122510AD"/>
    <w:rsid w:val="122F0F93"/>
    <w:rsid w:val="123A05DB"/>
    <w:rsid w:val="124240B9"/>
    <w:rsid w:val="124702AB"/>
    <w:rsid w:val="12491684"/>
    <w:rsid w:val="124D0988"/>
    <w:rsid w:val="124E44B4"/>
    <w:rsid w:val="125067C3"/>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B0B16"/>
    <w:rsid w:val="12EE5106"/>
    <w:rsid w:val="12F777F2"/>
    <w:rsid w:val="1307341C"/>
    <w:rsid w:val="130C40FE"/>
    <w:rsid w:val="130E3629"/>
    <w:rsid w:val="13125197"/>
    <w:rsid w:val="131B39DD"/>
    <w:rsid w:val="13283BA4"/>
    <w:rsid w:val="132974BB"/>
    <w:rsid w:val="13332F77"/>
    <w:rsid w:val="13334E1C"/>
    <w:rsid w:val="13346EE4"/>
    <w:rsid w:val="13354BA1"/>
    <w:rsid w:val="13384952"/>
    <w:rsid w:val="134B49D4"/>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044B9"/>
    <w:rsid w:val="13E20C66"/>
    <w:rsid w:val="13FD073F"/>
    <w:rsid w:val="14001419"/>
    <w:rsid w:val="140171D9"/>
    <w:rsid w:val="1405674E"/>
    <w:rsid w:val="140662E7"/>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B4C11"/>
    <w:rsid w:val="14816B50"/>
    <w:rsid w:val="148313F4"/>
    <w:rsid w:val="1485665F"/>
    <w:rsid w:val="14934F1A"/>
    <w:rsid w:val="149411C1"/>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355FA8"/>
    <w:rsid w:val="154806E1"/>
    <w:rsid w:val="154D342A"/>
    <w:rsid w:val="15581ED5"/>
    <w:rsid w:val="1559587F"/>
    <w:rsid w:val="155E7DEC"/>
    <w:rsid w:val="15740334"/>
    <w:rsid w:val="1574662E"/>
    <w:rsid w:val="15751882"/>
    <w:rsid w:val="1575191B"/>
    <w:rsid w:val="157818C6"/>
    <w:rsid w:val="159F73BB"/>
    <w:rsid w:val="15A502D0"/>
    <w:rsid w:val="15AD52A1"/>
    <w:rsid w:val="15B03F28"/>
    <w:rsid w:val="15C15E25"/>
    <w:rsid w:val="15C42571"/>
    <w:rsid w:val="15E30A80"/>
    <w:rsid w:val="15E87214"/>
    <w:rsid w:val="15F1008F"/>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7F70BF"/>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7500B"/>
    <w:rsid w:val="16C86CDB"/>
    <w:rsid w:val="16CC2B4C"/>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72148A"/>
    <w:rsid w:val="17850F99"/>
    <w:rsid w:val="17875303"/>
    <w:rsid w:val="178815C4"/>
    <w:rsid w:val="17891C0B"/>
    <w:rsid w:val="178D6E7A"/>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2DB7"/>
    <w:rsid w:val="17F33DC6"/>
    <w:rsid w:val="17F45149"/>
    <w:rsid w:val="17FD061B"/>
    <w:rsid w:val="17FD20FD"/>
    <w:rsid w:val="17FF6314"/>
    <w:rsid w:val="18005F41"/>
    <w:rsid w:val="18025414"/>
    <w:rsid w:val="18171305"/>
    <w:rsid w:val="1820454C"/>
    <w:rsid w:val="1829280B"/>
    <w:rsid w:val="18327337"/>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8F365D"/>
    <w:rsid w:val="189252B6"/>
    <w:rsid w:val="18956393"/>
    <w:rsid w:val="189C5943"/>
    <w:rsid w:val="18A8582C"/>
    <w:rsid w:val="18B135C0"/>
    <w:rsid w:val="18B50543"/>
    <w:rsid w:val="18CA40C3"/>
    <w:rsid w:val="18CD7A02"/>
    <w:rsid w:val="18D82C17"/>
    <w:rsid w:val="18D904AC"/>
    <w:rsid w:val="18DC1AEF"/>
    <w:rsid w:val="18DF5689"/>
    <w:rsid w:val="18EA3EC7"/>
    <w:rsid w:val="18F74015"/>
    <w:rsid w:val="19001FFC"/>
    <w:rsid w:val="19002350"/>
    <w:rsid w:val="19083894"/>
    <w:rsid w:val="190E2B4A"/>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C2AA0"/>
    <w:rsid w:val="19CE5CE6"/>
    <w:rsid w:val="19E24986"/>
    <w:rsid w:val="19E256B5"/>
    <w:rsid w:val="19E54655"/>
    <w:rsid w:val="19F061A1"/>
    <w:rsid w:val="19F409F4"/>
    <w:rsid w:val="19F81E45"/>
    <w:rsid w:val="1A021BEA"/>
    <w:rsid w:val="1A054259"/>
    <w:rsid w:val="1A081816"/>
    <w:rsid w:val="1A0C5680"/>
    <w:rsid w:val="1A165171"/>
    <w:rsid w:val="1A3068A4"/>
    <w:rsid w:val="1A410451"/>
    <w:rsid w:val="1A4858FF"/>
    <w:rsid w:val="1A4C2DB9"/>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099A"/>
    <w:rsid w:val="1BE32C74"/>
    <w:rsid w:val="1BF72906"/>
    <w:rsid w:val="1BFB481C"/>
    <w:rsid w:val="1BFE5FF9"/>
    <w:rsid w:val="1BFE7B2D"/>
    <w:rsid w:val="1C013494"/>
    <w:rsid w:val="1C053414"/>
    <w:rsid w:val="1C132CB9"/>
    <w:rsid w:val="1C1642A1"/>
    <w:rsid w:val="1C2146C5"/>
    <w:rsid w:val="1C240174"/>
    <w:rsid w:val="1C273D33"/>
    <w:rsid w:val="1C2B0BE0"/>
    <w:rsid w:val="1C4032AB"/>
    <w:rsid w:val="1C4672ED"/>
    <w:rsid w:val="1C467AB6"/>
    <w:rsid w:val="1C5800BC"/>
    <w:rsid w:val="1C591347"/>
    <w:rsid w:val="1C6277A9"/>
    <w:rsid w:val="1C7100AE"/>
    <w:rsid w:val="1C750818"/>
    <w:rsid w:val="1C7F54CE"/>
    <w:rsid w:val="1C7F743F"/>
    <w:rsid w:val="1C8C4AA9"/>
    <w:rsid w:val="1C8C604B"/>
    <w:rsid w:val="1C8F53D9"/>
    <w:rsid w:val="1C92160B"/>
    <w:rsid w:val="1C973EEF"/>
    <w:rsid w:val="1C9B77F5"/>
    <w:rsid w:val="1C9E22B6"/>
    <w:rsid w:val="1CA03243"/>
    <w:rsid w:val="1CAC112E"/>
    <w:rsid w:val="1CAF5DB2"/>
    <w:rsid w:val="1CB40DF1"/>
    <w:rsid w:val="1CB86812"/>
    <w:rsid w:val="1CB93C74"/>
    <w:rsid w:val="1CC11084"/>
    <w:rsid w:val="1CC71DD3"/>
    <w:rsid w:val="1CCC26CA"/>
    <w:rsid w:val="1CCD0C7D"/>
    <w:rsid w:val="1CD2156B"/>
    <w:rsid w:val="1CD41743"/>
    <w:rsid w:val="1CD44D3D"/>
    <w:rsid w:val="1CD77F43"/>
    <w:rsid w:val="1CDA4887"/>
    <w:rsid w:val="1CE45EF5"/>
    <w:rsid w:val="1CE615C9"/>
    <w:rsid w:val="1CED1E7E"/>
    <w:rsid w:val="1D037029"/>
    <w:rsid w:val="1D0A6B98"/>
    <w:rsid w:val="1D227612"/>
    <w:rsid w:val="1D3305FF"/>
    <w:rsid w:val="1D395282"/>
    <w:rsid w:val="1D40749C"/>
    <w:rsid w:val="1D4251BA"/>
    <w:rsid w:val="1D4E4F63"/>
    <w:rsid w:val="1D5A65E9"/>
    <w:rsid w:val="1D5B2FF2"/>
    <w:rsid w:val="1D5F5386"/>
    <w:rsid w:val="1D70348C"/>
    <w:rsid w:val="1D7072CE"/>
    <w:rsid w:val="1D794A16"/>
    <w:rsid w:val="1D80759A"/>
    <w:rsid w:val="1D8A021B"/>
    <w:rsid w:val="1D935671"/>
    <w:rsid w:val="1D9E30A9"/>
    <w:rsid w:val="1DAB1006"/>
    <w:rsid w:val="1DAB2A0A"/>
    <w:rsid w:val="1DB33C11"/>
    <w:rsid w:val="1DC65562"/>
    <w:rsid w:val="1DD34749"/>
    <w:rsid w:val="1DD34B91"/>
    <w:rsid w:val="1DDD201B"/>
    <w:rsid w:val="1DE94164"/>
    <w:rsid w:val="1DEE1B11"/>
    <w:rsid w:val="1DEF316F"/>
    <w:rsid w:val="1E085D06"/>
    <w:rsid w:val="1E105A20"/>
    <w:rsid w:val="1E164B52"/>
    <w:rsid w:val="1E207CA6"/>
    <w:rsid w:val="1E26583C"/>
    <w:rsid w:val="1E273844"/>
    <w:rsid w:val="1E2945B6"/>
    <w:rsid w:val="1E2F243E"/>
    <w:rsid w:val="1E3B4F6B"/>
    <w:rsid w:val="1E3D2556"/>
    <w:rsid w:val="1E455D19"/>
    <w:rsid w:val="1E595CAF"/>
    <w:rsid w:val="1E5C31E8"/>
    <w:rsid w:val="1E610C87"/>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850AF9"/>
    <w:rsid w:val="1F935819"/>
    <w:rsid w:val="1FA036A3"/>
    <w:rsid w:val="1FA628A2"/>
    <w:rsid w:val="1FA6556D"/>
    <w:rsid w:val="1FA73A37"/>
    <w:rsid w:val="1FAF2571"/>
    <w:rsid w:val="1FB33036"/>
    <w:rsid w:val="1FC55EDA"/>
    <w:rsid w:val="1FC658C9"/>
    <w:rsid w:val="1FCE593C"/>
    <w:rsid w:val="1FE312AC"/>
    <w:rsid w:val="1FEC5915"/>
    <w:rsid w:val="1FED32EF"/>
    <w:rsid w:val="1FF82884"/>
    <w:rsid w:val="200079F9"/>
    <w:rsid w:val="201E6D7C"/>
    <w:rsid w:val="20446081"/>
    <w:rsid w:val="204852AD"/>
    <w:rsid w:val="204A5E48"/>
    <w:rsid w:val="204A6449"/>
    <w:rsid w:val="204E6676"/>
    <w:rsid w:val="20523B02"/>
    <w:rsid w:val="20580C17"/>
    <w:rsid w:val="20595924"/>
    <w:rsid w:val="205A5AA0"/>
    <w:rsid w:val="206408C4"/>
    <w:rsid w:val="20773A28"/>
    <w:rsid w:val="208574F4"/>
    <w:rsid w:val="20872047"/>
    <w:rsid w:val="2089606E"/>
    <w:rsid w:val="208C4449"/>
    <w:rsid w:val="208F6BAF"/>
    <w:rsid w:val="209414DB"/>
    <w:rsid w:val="20A462BA"/>
    <w:rsid w:val="20BF2AAC"/>
    <w:rsid w:val="20C849C7"/>
    <w:rsid w:val="20DF66D2"/>
    <w:rsid w:val="20EC3F2E"/>
    <w:rsid w:val="20EC7C3E"/>
    <w:rsid w:val="20F07537"/>
    <w:rsid w:val="20FA77BC"/>
    <w:rsid w:val="210548E9"/>
    <w:rsid w:val="210C336C"/>
    <w:rsid w:val="210D14B3"/>
    <w:rsid w:val="21124D15"/>
    <w:rsid w:val="21164A79"/>
    <w:rsid w:val="211C7DEA"/>
    <w:rsid w:val="21332BF6"/>
    <w:rsid w:val="213B13E1"/>
    <w:rsid w:val="213E7119"/>
    <w:rsid w:val="21401C29"/>
    <w:rsid w:val="21530058"/>
    <w:rsid w:val="21567D84"/>
    <w:rsid w:val="216608E3"/>
    <w:rsid w:val="21675117"/>
    <w:rsid w:val="21810744"/>
    <w:rsid w:val="218577F3"/>
    <w:rsid w:val="218D6EF5"/>
    <w:rsid w:val="2195668B"/>
    <w:rsid w:val="219F69EC"/>
    <w:rsid w:val="21A130EA"/>
    <w:rsid w:val="21B405F8"/>
    <w:rsid w:val="21B5366A"/>
    <w:rsid w:val="21C267BF"/>
    <w:rsid w:val="21C65A87"/>
    <w:rsid w:val="21C67C42"/>
    <w:rsid w:val="21CB6217"/>
    <w:rsid w:val="21CD6BCD"/>
    <w:rsid w:val="21CE6067"/>
    <w:rsid w:val="21CF439A"/>
    <w:rsid w:val="21D824E4"/>
    <w:rsid w:val="21E35D49"/>
    <w:rsid w:val="21F00127"/>
    <w:rsid w:val="21F7745C"/>
    <w:rsid w:val="22035C75"/>
    <w:rsid w:val="22106FD4"/>
    <w:rsid w:val="221D2FA3"/>
    <w:rsid w:val="221E50E4"/>
    <w:rsid w:val="2226635F"/>
    <w:rsid w:val="222D4F0B"/>
    <w:rsid w:val="223A29CF"/>
    <w:rsid w:val="223D7545"/>
    <w:rsid w:val="22411D14"/>
    <w:rsid w:val="22423BE1"/>
    <w:rsid w:val="22454449"/>
    <w:rsid w:val="22500810"/>
    <w:rsid w:val="22596EC8"/>
    <w:rsid w:val="225B3D6B"/>
    <w:rsid w:val="226347BD"/>
    <w:rsid w:val="22682935"/>
    <w:rsid w:val="226D3C33"/>
    <w:rsid w:val="226E0A7E"/>
    <w:rsid w:val="22715191"/>
    <w:rsid w:val="227E0D30"/>
    <w:rsid w:val="227E7CD6"/>
    <w:rsid w:val="228A4698"/>
    <w:rsid w:val="22914245"/>
    <w:rsid w:val="22925971"/>
    <w:rsid w:val="22945167"/>
    <w:rsid w:val="229B0BE2"/>
    <w:rsid w:val="22A55CD5"/>
    <w:rsid w:val="22C558BB"/>
    <w:rsid w:val="22C74EE2"/>
    <w:rsid w:val="22CA188A"/>
    <w:rsid w:val="22CB6237"/>
    <w:rsid w:val="22CD14B5"/>
    <w:rsid w:val="22E02C6E"/>
    <w:rsid w:val="22E04FF4"/>
    <w:rsid w:val="22E1121B"/>
    <w:rsid w:val="22EA4C70"/>
    <w:rsid w:val="22F15AB9"/>
    <w:rsid w:val="22F75251"/>
    <w:rsid w:val="22F7746D"/>
    <w:rsid w:val="22F86F75"/>
    <w:rsid w:val="22FB4D32"/>
    <w:rsid w:val="22FC72E3"/>
    <w:rsid w:val="23131055"/>
    <w:rsid w:val="23146AC2"/>
    <w:rsid w:val="232C2DD6"/>
    <w:rsid w:val="233C6F76"/>
    <w:rsid w:val="234449F5"/>
    <w:rsid w:val="23536618"/>
    <w:rsid w:val="236C1BCA"/>
    <w:rsid w:val="237464D5"/>
    <w:rsid w:val="23812C99"/>
    <w:rsid w:val="23816932"/>
    <w:rsid w:val="238E01E4"/>
    <w:rsid w:val="23925D42"/>
    <w:rsid w:val="239C062C"/>
    <w:rsid w:val="23A9484E"/>
    <w:rsid w:val="23B32F98"/>
    <w:rsid w:val="23B84268"/>
    <w:rsid w:val="23C64686"/>
    <w:rsid w:val="23D17D7B"/>
    <w:rsid w:val="23D36D91"/>
    <w:rsid w:val="23E02099"/>
    <w:rsid w:val="23E65AD0"/>
    <w:rsid w:val="23EF1757"/>
    <w:rsid w:val="23F70BA5"/>
    <w:rsid w:val="23F93D0D"/>
    <w:rsid w:val="2405417E"/>
    <w:rsid w:val="24197365"/>
    <w:rsid w:val="241B5C62"/>
    <w:rsid w:val="242A4D36"/>
    <w:rsid w:val="242A56EB"/>
    <w:rsid w:val="24312CB0"/>
    <w:rsid w:val="243A6CBE"/>
    <w:rsid w:val="24513B48"/>
    <w:rsid w:val="2458381E"/>
    <w:rsid w:val="245872F9"/>
    <w:rsid w:val="245943D9"/>
    <w:rsid w:val="245E6B64"/>
    <w:rsid w:val="2463385E"/>
    <w:rsid w:val="246B2606"/>
    <w:rsid w:val="24767C7B"/>
    <w:rsid w:val="247C178B"/>
    <w:rsid w:val="247E39CA"/>
    <w:rsid w:val="24861BCE"/>
    <w:rsid w:val="2486388F"/>
    <w:rsid w:val="24967323"/>
    <w:rsid w:val="249D5FC8"/>
    <w:rsid w:val="24A1538E"/>
    <w:rsid w:val="24B9450F"/>
    <w:rsid w:val="24C25350"/>
    <w:rsid w:val="24C83F94"/>
    <w:rsid w:val="24D82EE2"/>
    <w:rsid w:val="24DA4806"/>
    <w:rsid w:val="24DF46F6"/>
    <w:rsid w:val="24F60CDA"/>
    <w:rsid w:val="24F80EA8"/>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AB575C"/>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6C1436"/>
    <w:rsid w:val="267550B9"/>
    <w:rsid w:val="26996DAE"/>
    <w:rsid w:val="26B523D9"/>
    <w:rsid w:val="26BE1846"/>
    <w:rsid w:val="26C472EC"/>
    <w:rsid w:val="26E51F4F"/>
    <w:rsid w:val="26E83216"/>
    <w:rsid w:val="26EC491A"/>
    <w:rsid w:val="26ED73E1"/>
    <w:rsid w:val="26F503CD"/>
    <w:rsid w:val="27036506"/>
    <w:rsid w:val="27047832"/>
    <w:rsid w:val="2706037D"/>
    <w:rsid w:val="27077793"/>
    <w:rsid w:val="270D152E"/>
    <w:rsid w:val="271436A9"/>
    <w:rsid w:val="271D0EB4"/>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BE590A"/>
    <w:rsid w:val="27C0656B"/>
    <w:rsid w:val="27C57B2B"/>
    <w:rsid w:val="27C8029E"/>
    <w:rsid w:val="27CC78AC"/>
    <w:rsid w:val="27D72FE7"/>
    <w:rsid w:val="27D86029"/>
    <w:rsid w:val="27DD45ED"/>
    <w:rsid w:val="27E3651B"/>
    <w:rsid w:val="27E54AD0"/>
    <w:rsid w:val="27E66B1C"/>
    <w:rsid w:val="27E864CC"/>
    <w:rsid w:val="27EC25E3"/>
    <w:rsid w:val="27ED0939"/>
    <w:rsid w:val="27F1498B"/>
    <w:rsid w:val="27F80CA0"/>
    <w:rsid w:val="28021134"/>
    <w:rsid w:val="2802750E"/>
    <w:rsid w:val="28027A71"/>
    <w:rsid w:val="281D5376"/>
    <w:rsid w:val="281F4F67"/>
    <w:rsid w:val="282857E6"/>
    <w:rsid w:val="28325770"/>
    <w:rsid w:val="283744B4"/>
    <w:rsid w:val="283E7768"/>
    <w:rsid w:val="28485D62"/>
    <w:rsid w:val="28517107"/>
    <w:rsid w:val="28524ABE"/>
    <w:rsid w:val="285560D7"/>
    <w:rsid w:val="28620877"/>
    <w:rsid w:val="286C77D1"/>
    <w:rsid w:val="286D03C2"/>
    <w:rsid w:val="286E74F1"/>
    <w:rsid w:val="28760CA0"/>
    <w:rsid w:val="28792C68"/>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77BAF"/>
    <w:rsid w:val="292120C3"/>
    <w:rsid w:val="294E766A"/>
    <w:rsid w:val="2952590A"/>
    <w:rsid w:val="295545AF"/>
    <w:rsid w:val="29623F1E"/>
    <w:rsid w:val="297161D3"/>
    <w:rsid w:val="2978319A"/>
    <w:rsid w:val="29886D49"/>
    <w:rsid w:val="29897A2F"/>
    <w:rsid w:val="29954C89"/>
    <w:rsid w:val="29A015B3"/>
    <w:rsid w:val="29A02DFF"/>
    <w:rsid w:val="29A3014B"/>
    <w:rsid w:val="29A74CBD"/>
    <w:rsid w:val="29A80BF5"/>
    <w:rsid w:val="29B01C34"/>
    <w:rsid w:val="29B16357"/>
    <w:rsid w:val="29B1716B"/>
    <w:rsid w:val="29BA0D88"/>
    <w:rsid w:val="29BB3E72"/>
    <w:rsid w:val="29CF32B2"/>
    <w:rsid w:val="29DE15A2"/>
    <w:rsid w:val="29E0500B"/>
    <w:rsid w:val="29E56462"/>
    <w:rsid w:val="29EC475A"/>
    <w:rsid w:val="29EF3680"/>
    <w:rsid w:val="29EF424E"/>
    <w:rsid w:val="29F35970"/>
    <w:rsid w:val="29F42745"/>
    <w:rsid w:val="29FA7F26"/>
    <w:rsid w:val="2A0B7871"/>
    <w:rsid w:val="2A166823"/>
    <w:rsid w:val="2A35650F"/>
    <w:rsid w:val="2A405845"/>
    <w:rsid w:val="2A4562D4"/>
    <w:rsid w:val="2A4D593F"/>
    <w:rsid w:val="2A575627"/>
    <w:rsid w:val="2A6C2D77"/>
    <w:rsid w:val="2A6E31F8"/>
    <w:rsid w:val="2A7270B7"/>
    <w:rsid w:val="2A824349"/>
    <w:rsid w:val="2A82713D"/>
    <w:rsid w:val="2A87174E"/>
    <w:rsid w:val="2A8A2F9C"/>
    <w:rsid w:val="2AA45D17"/>
    <w:rsid w:val="2AAB3B94"/>
    <w:rsid w:val="2AAC5A06"/>
    <w:rsid w:val="2AB22DE3"/>
    <w:rsid w:val="2AB369FC"/>
    <w:rsid w:val="2AB775FB"/>
    <w:rsid w:val="2ABB3D6F"/>
    <w:rsid w:val="2AC318D9"/>
    <w:rsid w:val="2AC70B30"/>
    <w:rsid w:val="2ACC2AAF"/>
    <w:rsid w:val="2ACD46FA"/>
    <w:rsid w:val="2ACD717C"/>
    <w:rsid w:val="2AD74744"/>
    <w:rsid w:val="2AD91AC2"/>
    <w:rsid w:val="2AE23BB4"/>
    <w:rsid w:val="2AE57C95"/>
    <w:rsid w:val="2AE97E06"/>
    <w:rsid w:val="2AF34B3D"/>
    <w:rsid w:val="2AF35C8B"/>
    <w:rsid w:val="2B055F4D"/>
    <w:rsid w:val="2B0C0EEE"/>
    <w:rsid w:val="2B112D02"/>
    <w:rsid w:val="2B132265"/>
    <w:rsid w:val="2B214776"/>
    <w:rsid w:val="2B2843BE"/>
    <w:rsid w:val="2B2A789A"/>
    <w:rsid w:val="2B313FC1"/>
    <w:rsid w:val="2B347C14"/>
    <w:rsid w:val="2B39348E"/>
    <w:rsid w:val="2B3C602B"/>
    <w:rsid w:val="2B437285"/>
    <w:rsid w:val="2B494377"/>
    <w:rsid w:val="2B4D695C"/>
    <w:rsid w:val="2B514803"/>
    <w:rsid w:val="2B5E6C2A"/>
    <w:rsid w:val="2B637D4B"/>
    <w:rsid w:val="2B6B1684"/>
    <w:rsid w:val="2B7B70BF"/>
    <w:rsid w:val="2B853AF3"/>
    <w:rsid w:val="2B8B422C"/>
    <w:rsid w:val="2B950A36"/>
    <w:rsid w:val="2BA07D38"/>
    <w:rsid w:val="2BB76C46"/>
    <w:rsid w:val="2BC40957"/>
    <w:rsid w:val="2BCA5C66"/>
    <w:rsid w:val="2BCB5DAA"/>
    <w:rsid w:val="2BD65380"/>
    <w:rsid w:val="2BD86372"/>
    <w:rsid w:val="2BDA39FD"/>
    <w:rsid w:val="2BE725D0"/>
    <w:rsid w:val="2BEF631E"/>
    <w:rsid w:val="2BF369B9"/>
    <w:rsid w:val="2BFC0A4A"/>
    <w:rsid w:val="2C094904"/>
    <w:rsid w:val="2C0E55A1"/>
    <w:rsid w:val="2C14030B"/>
    <w:rsid w:val="2C311447"/>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85E71"/>
    <w:rsid w:val="2CBE6567"/>
    <w:rsid w:val="2CCB6E18"/>
    <w:rsid w:val="2CCC2BFE"/>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6D7E98"/>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200"/>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AE0E14"/>
    <w:rsid w:val="2FC86676"/>
    <w:rsid w:val="2FCA3CBE"/>
    <w:rsid w:val="2FD17A1B"/>
    <w:rsid w:val="2FD71CA4"/>
    <w:rsid w:val="2FDC432A"/>
    <w:rsid w:val="2FDC4A8D"/>
    <w:rsid w:val="2FDD73CC"/>
    <w:rsid w:val="2FE27109"/>
    <w:rsid w:val="2FEA743A"/>
    <w:rsid w:val="2FF24D11"/>
    <w:rsid w:val="2FF93066"/>
    <w:rsid w:val="30114224"/>
    <w:rsid w:val="301742B2"/>
    <w:rsid w:val="301A1509"/>
    <w:rsid w:val="301A71CE"/>
    <w:rsid w:val="301D63DD"/>
    <w:rsid w:val="301E049B"/>
    <w:rsid w:val="302A4BE6"/>
    <w:rsid w:val="3030635F"/>
    <w:rsid w:val="304478EC"/>
    <w:rsid w:val="304F4511"/>
    <w:rsid w:val="30515C8E"/>
    <w:rsid w:val="305823FF"/>
    <w:rsid w:val="30830761"/>
    <w:rsid w:val="30926F91"/>
    <w:rsid w:val="30962F3E"/>
    <w:rsid w:val="30A13F14"/>
    <w:rsid w:val="30A85733"/>
    <w:rsid w:val="30AA2585"/>
    <w:rsid w:val="30B07269"/>
    <w:rsid w:val="30C16A19"/>
    <w:rsid w:val="30C262B6"/>
    <w:rsid w:val="30CB5800"/>
    <w:rsid w:val="30D32236"/>
    <w:rsid w:val="30DB6CFA"/>
    <w:rsid w:val="30E43E12"/>
    <w:rsid w:val="30E53B71"/>
    <w:rsid w:val="30E8513F"/>
    <w:rsid w:val="30FA7530"/>
    <w:rsid w:val="30FF2795"/>
    <w:rsid w:val="31015E30"/>
    <w:rsid w:val="310375CD"/>
    <w:rsid w:val="310854C5"/>
    <w:rsid w:val="310D44C6"/>
    <w:rsid w:val="310E6387"/>
    <w:rsid w:val="311611B3"/>
    <w:rsid w:val="31180F58"/>
    <w:rsid w:val="311F6A53"/>
    <w:rsid w:val="31262BAF"/>
    <w:rsid w:val="313C313D"/>
    <w:rsid w:val="313F6DC6"/>
    <w:rsid w:val="314E236F"/>
    <w:rsid w:val="315C5815"/>
    <w:rsid w:val="315E0B07"/>
    <w:rsid w:val="31621F46"/>
    <w:rsid w:val="316A723C"/>
    <w:rsid w:val="316E7CA0"/>
    <w:rsid w:val="317206BF"/>
    <w:rsid w:val="317932EA"/>
    <w:rsid w:val="317938E9"/>
    <w:rsid w:val="317E5000"/>
    <w:rsid w:val="31870868"/>
    <w:rsid w:val="31875BB4"/>
    <w:rsid w:val="319B3F06"/>
    <w:rsid w:val="31A9328B"/>
    <w:rsid w:val="31AD09F7"/>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463C48"/>
    <w:rsid w:val="32537B57"/>
    <w:rsid w:val="3257309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A062A"/>
    <w:rsid w:val="337D34FB"/>
    <w:rsid w:val="337E2DAF"/>
    <w:rsid w:val="339C6DF8"/>
    <w:rsid w:val="33A47053"/>
    <w:rsid w:val="33AD5111"/>
    <w:rsid w:val="33BF4199"/>
    <w:rsid w:val="33CD23A8"/>
    <w:rsid w:val="33CD6498"/>
    <w:rsid w:val="33D7554F"/>
    <w:rsid w:val="33D825FA"/>
    <w:rsid w:val="33DB2AB1"/>
    <w:rsid w:val="33FA40FA"/>
    <w:rsid w:val="33FE62E7"/>
    <w:rsid w:val="34014663"/>
    <w:rsid w:val="34080399"/>
    <w:rsid w:val="340D25F6"/>
    <w:rsid w:val="34161D6C"/>
    <w:rsid w:val="341E19AD"/>
    <w:rsid w:val="342763E9"/>
    <w:rsid w:val="3429226D"/>
    <w:rsid w:val="342B76C7"/>
    <w:rsid w:val="343A1527"/>
    <w:rsid w:val="3441650E"/>
    <w:rsid w:val="34447898"/>
    <w:rsid w:val="344E62FA"/>
    <w:rsid w:val="34542DE9"/>
    <w:rsid w:val="34542E46"/>
    <w:rsid w:val="346C4879"/>
    <w:rsid w:val="346D7DEA"/>
    <w:rsid w:val="3472234D"/>
    <w:rsid w:val="347D500F"/>
    <w:rsid w:val="34830157"/>
    <w:rsid w:val="34872D27"/>
    <w:rsid w:val="348A3241"/>
    <w:rsid w:val="348E58C4"/>
    <w:rsid w:val="349164BD"/>
    <w:rsid w:val="3495237E"/>
    <w:rsid w:val="3499657C"/>
    <w:rsid w:val="34A40DA8"/>
    <w:rsid w:val="34A52713"/>
    <w:rsid w:val="34BD02AE"/>
    <w:rsid w:val="34BD32A6"/>
    <w:rsid w:val="34BE1B67"/>
    <w:rsid w:val="34C20DC7"/>
    <w:rsid w:val="34C77705"/>
    <w:rsid w:val="34DA26A8"/>
    <w:rsid w:val="34DE2B9F"/>
    <w:rsid w:val="34DF0124"/>
    <w:rsid w:val="34E145D2"/>
    <w:rsid w:val="34E75EA5"/>
    <w:rsid w:val="34E960F1"/>
    <w:rsid w:val="34EE6187"/>
    <w:rsid w:val="350A65C4"/>
    <w:rsid w:val="350B42D5"/>
    <w:rsid w:val="350F6258"/>
    <w:rsid w:val="35126D01"/>
    <w:rsid w:val="35184A75"/>
    <w:rsid w:val="351977B4"/>
    <w:rsid w:val="351A603C"/>
    <w:rsid w:val="352821F6"/>
    <w:rsid w:val="35292624"/>
    <w:rsid w:val="3533698A"/>
    <w:rsid w:val="35387F19"/>
    <w:rsid w:val="3539550B"/>
    <w:rsid w:val="35413331"/>
    <w:rsid w:val="354319AA"/>
    <w:rsid w:val="354D5E0E"/>
    <w:rsid w:val="355D10E3"/>
    <w:rsid w:val="355F206B"/>
    <w:rsid w:val="356150BC"/>
    <w:rsid w:val="356678B4"/>
    <w:rsid w:val="3573649F"/>
    <w:rsid w:val="35774602"/>
    <w:rsid w:val="357E4B0A"/>
    <w:rsid w:val="35837DFD"/>
    <w:rsid w:val="35866D7F"/>
    <w:rsid w:val="358F6BDF"/>
    <w:rsid w:val="35917C0B"/>
    <w:rsid w:val="359611AB"/>
    <w:rsid w:val="359D0688"/>
    <w:rsid w:val="35A210A7"/>
    <w:rsid w:val="35A26AC9"/>
    <w:rsid w:val="35A440D7"/>
    <w:rsid w:val="35AE1117"/>
    <w:rsid w:val="35AE3DE9"/>
    <w:rsid w:val="35C06D50"/>
    <w:rsid w:val="35C92EE6"/>
    <w:rsid w:val="35CC6426"/>
    <w:rsid w:val="35CD6F14"/>
    <w:rsid w:val="35D24294"/>
    <w:rsid w:val="35D71152"/>
    <w:rsid w:val="35EC5DEC"/>
    <w:rsid w:val="35F629BD"/>
    <w:rsid w:val="35FF6F3C"/>
    <w:rsid w:val="3600359A"/>
    <w:rsid w:val="36075F27"/>
    <w:rsid w:val="36121506"/>
    <w:rsid w:val="36180A4A"/>
    <w:rsid w:val="361D7A43"/>
    <w:rsid w:val="361E658D"/>
    <w:rsid w:val="361F3323"/>
    <w:rsid w:val="362C64B5"/>
    <w:rsid w:val="363019EB"/>
    <w:rsid w:val="36326D0C"/>
    <w:rsid w:val="363835C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37903"/>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93B1D"/>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1381E"/>
    <w:rsid w:val="38647460"/>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D76CC"/>
    <w:rsid w:val="38E40A5B"/>
    <w:rsid w:val="38E51952"/>
    <w:rsid w:val="38F16A28"/>
    <w:rsid w:val="3913128B"/>
    <w:rsid w:val="391A3359"/>
    <w:rsid w:val="39285D57"/>
    <w:rsid w:val="39315D4D"/>
    <w:rsid w:val="393E40A8"/>
    <w:rsid w:val="394B6470"/>
    <w:rsid w:val="395C6EA8"/>
    <w:rsid w:val="39872512"/>
    <w:rsid w:val="39A007AA"/>
    <w:rsid w:val="39A602F9"/>
    <w:rsid w:val="39BD45C8"/>
    <w:rsid w:val="39C2316A"/>
    <w:rsid w:val="39D222B3"/>
    <w:rsid w:val="39D84654"/>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F3B4E"/>
    <w:rsid w:val="3B552653"/>
    <w:rsid w:val="3B5A2A22"/>
    <w:rsid w:val="3B5B5607"/>
    <w:rsid w:val="3B6B4F3A"/>
    <w:rsid w:val="3B707794"/>
    <w:rsid w:val="3B7804A3"/>
    <w:rsid w:val="3B8E2153"/>
    <w:rsid w:val="3B9B2072"/>
    <w:rsid w:val="3BA03B83"/>
    <w:rsid w:val="3BA551AF"/>
    <w:rsid w:val="3BA91F03"/>
    <w:rsid w:val="3BB16FA6"/>
    <w:rsid w:val="3BB17CE6"/>
    <w:rsid w:val="3BB20883"/>
    <w:rsid w:val="3BB448B0"/>
    <w:rsid w:val="3BC34E75"/>
    <w:rsid w:val="3BCB270F"/>
    <w:rsid w:val="3BD569C2"/>
    <w:rsid w:val="3BD96AA6"/>
    <w:rsid w:val="3BDB053C"/>
    <w:rsid w:val="3BE4466B"/>
    <w:rsid w:val="3BED002E"/>
    <w:rsid w:val="3BF64842"/>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6F06BD"/>
    <w:rsid w:val="3C712E5F"/>
    <w:rsid w:val="3C734413"/>
    <w:rsid w:val="3C764842"/>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4209E"/>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104CE"/>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8720F"/>
    <w:rsid w:val="3E1328D6"/>
    <w:rsid w:val="3E1B7668"/>
    <w:rsid w:val="3E1C6544"/>
    <w:rsid w:val="3E1D4B24"/>
    <w:rsid w:val="3E2A7B0A"/>
    <w:rsid w:val="3E314520"/>
    <w:rsid w:val="3E3A04FA"/>
    <w:rsid w:val="3E3D6B96"/>
    <w:rsid w:val="3E3F202E"/>
    <w:rsid w:val="3E441C7D"/>
    <w:rsid w:val="3E490256"/>
    <w:rsid w:val="3E4C16BD"/>
    <w:rsid w:val="3E4C2EC5"/>
    <w:rsid w:val="3E55739E"/>
    <w:rsid w:val="3E68075C"/>
    <w:rsid w:val="3E6C43C8"/>
    <w:rsid w:val="3E6E6161"/>
    <w:rsid w:val="3E8227F0"/>
    <w:rsid w:val="3E937F82"/>
    <w:rsid w:val="3E9B4B40"/>
    <w:rsid w:val="3EB71AC8"/>
    <w:rsid w:val="3EC14CA0"/>
    <w:rsid w:val="3EC85E34"/>
    <w:rsid w:val="3ECF2AAC"/>
    <w:rsid w:val="3ED0424C"/>
    <w:rsid w:val="3ED07B7E"/>
    <w:rsid w:val="3EDC2C5B"/>
    <w:rsid w:val="3EF31E7F"/>
    <w:rsid w:val="3EF36DF0"/>
    <w:rsid w:val="3EFC77FE"/>
    <w:rsid w:val="3F003339"/>
    <w:rsid w:val="3F035EE1"/>
    <w:rsid w:val="3F053EF6"/>
    <w:rsid w:val="3F093188"/>
    <w:rsid w:val="3F0C1E13"/>
    <w:rsid w:val="3F173F6B"/>
    <w:rsid w:val="3F1A20DE"/>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93586"/>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2F649F"/>
    <w:rsid w:val="403052F1"/>
    <w:rsid w:val="40330D29"/>
    <w:rsid w:val="403B277F"/>
    <w:rsid w:val="404469FD"/>
    <w:rsid w:val="404A2717"/>
    <w:rsid w:val="404E779F"/>
    <w:rsid w:val="4059090D"/>
    <w:rsid w:val="4065170A"/>
    <w:rsid w:val="40687776"/>
    <w:rsid w:val="406966BC"/>
    <w:rsid w:val="406C4DFB"/>
    <w:rsid w:val="406E5CAB"/>
    <w:rsid w:val="40713C35"/>
    <w:rsid w:val="40823B87"/>
    <w:rsid w:val="408355D6"/>
    <w:rsid w:val="408376F8"/>
    <w:rsid w:val="408C04D2"/>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1C49CD"/>
    <w:rsid w:val="41325883"/>
    <w:rsid w:val="413353F1"/>
    <w:rsid w:val="41372918"/>
    <w:rsid w:val="41464224"/>
    <w:rsid w:val="414C0B0E"/>
    <w:rsid w:val="41513BC9"/>
    <w:rsid w:val="41713236"/>
    <w:rsid w:val="41735B7F"/>
    <w:rsid w:val="419302E2"/>
    <w:rsid w:val="419C5FD8"/>
    <w:rsid w:val="419E558F"/>
    <w:rsid w:val="419E60D3"/>
    <w:rsid w:val="41A25332"/>
    <w:rsid w:val="41A339F5"/>
    <w:rsid w:val="41A36C7E"/>
    <w:rsid w:val="41A55EEC"/>
    <w:rsid w:val="41AA4A84"/>
    <w:rsid w:val="41AF06D0"/>
    <w:rsid w:val="41C45B38"/>
    <w:rsid w:val="41C93F6C"/>
    <w:rsid w:val="41D5139D"/>
    <w:rsid w:val="41D75714"/>
    <w:rsid w:val="41DD3BC3"/>
    <w:rsid w:val="41E535F4"/>
    <w:rsid w:val="41EE2F03"/>
    <w:rsid w:val="41F466FD"/>
    <w:rsid w:val="41FF4213"/>
    <w:rsid w:val="42002BC7"/>
    <w:rsid w:val="42026B03"/>
    <w:rsid w:val="420C60D5"/>
    <w:rsid w:val="420D197F"/>
    <w:rsid w:val="42130DE5"/>
    <w:rsid w:val="42187EBE"/>
    <w:rsid w:val="42201DD7"/>
    <w:rsid w:val="42240D3F"/>
    <w:rsid w:val="42273D8C"/>
    <w:rsid w:val="4227435A"/>
    <w:rsid w:val="42300D9C"/>
    <w:rsid w:val="423A3582"/>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92A2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03D58"/>
    <w:rsid w:val="436263D5"/>
    <w:rsid w:val="437556C4"/>
    <w:rsid w:val="43874CD4"/>
    <w:rsid w:val="43874FE8"/>
    <w:rsid w:val="439B699F"/>
    <w:rsid w:val="439D3E18"/>
    <w:rsid w:val="439E6C2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200B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851C4"/>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26C7C"/>
    <w:rsid w:val="46E53335"/>
    <w:rsid w:val="46E544E3"/>
    <w:rsid w:val="46E87DBA"/>
    <w:rsid w:val="46EE15F6"/>
    <w:rsid w:val="46EE2CC7"/>
    <w:rsid w:val="46F11440"/>
    <w:rsid w:val="46FA7468"/>
    <w:rsid w:val="470F7B86"/>
    <w:rsid w:val="47155D89"/>
    <w:rsid w:val="473069AF"/>
    <w:rsid w:val="47343DDE"/>
    <w:rsid w:val="47356ECD"/>
    <w:rsid w:val="47484E32"/>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3627A8"/>
    <w:rsid w:val="484417FA"/>
    <w:rsid w:val="48450ECE"/>
    <w:rsid w:val="484759CD"/>
    <w:rsid w:val="48481496"/>
    <w:rsid w:val="484B14EC"/>
    <w:rsid w:val="48602710"/>
    <w:rsid w:val="48713351"/>
    <w:rsid w:val="48725C43"/>
    <w:rsid w:val="48802846"/>
    <w:rsid w:val="488260F9"/>
    <w:rsid w:val="48850157"/>
    <w:rsid w:val="489E7DA3"/>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0D37"/>
    <w:rsid w:val="4A0244D3"/>
    <w:rsid w:val="4A255046"/>
    <w:rsid w:val="4A2E1525"/>
    <w:rsid w:val="4A4D071A"/>
    <w:rsid w:val="4A5A756D"/>
    <w:rsid w:val="4A722B4C"/>
    <w:rsid w:val="4A785772"/>
    <w:rsid w:val="4A7A7433"/>
    <w:rsid w:val="4A842E43"/>
    <w:rsid w:val="4A886D1D"/>
    <w:rsid w:val="4A89105B"/>
    <w:rsid w:val="4A912BF7"/>
    <w:rsid w:val="4A955EEB"/>
    <w:rsid w:val="4AA341CC"/>
    <w:rsid w:val="4AAD4AA9"/>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1F41F9"/>
    <w:rsid w:val="4B250CF8"/>
    <w:rsid w:val="4B2873FD"/>
    <w:rsid w:val="4B3D4DE9"/>
    <w:rsid w:val="4B59618C"/>
    <w:rsid w:val="4B5B2C7E"/>
    <w:rsid w:val="4B6A74A5"/>
    <w:rsid w:val="4B6D6F07"/>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1913B4"/>
    <w:rsid w:val="4C1A01C1"/>
    <w:rsid w:val="4C2910DF"/>
    <w:rsid w:val="4C2B4DDD"/>
    <w:rsid w:val="4C312198"/>
    <w:rsid w:val="4C336177"/>
    <w:rsid w:val="4C471A55"/>
    <w:rsid w:val="4C4E51AF"/>
    <w:rsid w:val="4C53456F"/>
    <w:rsid w:val="4C562920"/>
    <w:rsid w:val="4C5D1F92"/>
    <w:rsid w:val="4C603F16"/>
    <w:rsid w:val="4C6262E0"/>
    <w:rsid w:val="4C6703A3"/>
    <w:rsid w:val="4C6D7518"/>
    <w:rsid w:val="4C704A5C"/>
    <w:rsid w:val="4C8C1682"/>
    <w:rsid w:val="4C923A72"/>
    <w:rsid w:val="4CAB3057"/>
    <w:rsid w:val="4CB531CC"/>
    <w:rsid w:val="4CB80C32"/>
    <w:rsid w:val="4CB96B0F"/>
    <w:rsid w:val="4CBD582C"/>
    <w:rsid w:val="4CC21369"/>
    <w:rsid w:val="4CD1735E"/>
    <w:rsid w:val="4CE34E9F"/>
    <w:rsid w:val="4CF52D94"/>
    <w:rsid w:val="4D075911"/>
    <w:rsid w:val="4D0C6B0F"/>
    <w:rsid w:val="4D116682"/>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965A1"/>
    <w:rsid w:val="4DAF14C5"/>
    <w:rsid w:val="4DB9067A"/>
    <w:rsid w:val="4DC605B6"/>
    <w:rsid w:val="4DD732D2"/>
    <w:rsid w:val="4DEC0985"/>
    <w:rsid w:val="4E000105"/>
    <w:rsid w:val="4E0538A3"/>
    <w:rsid w:val="4E0E6818"/>
    <w:rsid w:val="4E27683A"/>
    <w:rsid w:val="4E300289"/>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60940"/>
    <w:rsid w:val="4EDB58B2"/>
    <w:rsid w:val="4EE925CE"/>
    <w:rsid w:val="4EEB1A94"/>
    <w:rsid w:val="4EEF2E30"/>
    <w:rsid w:val="4EF24828"/>
    <w:rsid w:val="4EFE7F59"/>
    <w:rsid w:val="4F0557AF"/>
    <w:rsid w:val="4F285975"/>
    <w:rsid w:val="4F2A1A96"/>
    <w:rsid w:val="4F2A7BF3"/>
    <w:rsid w:val="4F2E2624"/>
    <w:rsid w:val="4F3032F3"/>
    <w:rsid w:val="4F4E1077"/>
    <w:rsid w:val="4F546156"/>
    <w:rsid w:val="4F5B6F39"/>
    <w:rsid w:val="4F621F24"/>
    <w:rsid w:val="4F64780B"/>
    <w:rsid w:val="4F6C6998"/>
    <w:rsid w:val="4F727FD6"/>
    <w:rsid w:val="4F836EB9"/>
    <w:rsid w:val="4F844A99"/>
    <w:rsid w:val="4F94662C"/>
    <w:rsid w:val="4FAB774E"/>
    <w:rsid w:val="4FB00163"/>
    <w:rsid w:val="4FB208E7"/>
    <w:rsid w:val="4FE30332"/>
    <w:rsid w:val="4FE70BB4"/>
    <w:rsid w:val="4FE73C01"/>
    <w:rsid w:val="4FE76D51"/>
    <w:rsid w:val="4FE87C31"/>
    <w:rsid w:val="4FF03F98"/>
    <w:rsid w:val="4FF14DCF"/>
    <w:rsid w:val="4FF62B3F"/>
    <w:rsid w:val="50062DD9"/>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675605"/>
    <w:rsid w:val="507055F2"/>
    <w:rsid w:val="507E1B25"/>
    <w:rsid w:val="508E3B94"/>
    <w:rsid w:val="508E4492"/>
    <w:rsid w:val="5090223F"/>
    <w:rsid w:val="50924591"/>
    <w:rsid w:val="50943125"/>
    <w:rsid w:val="50A2548C"/>
    <w:rsid w:val="50A578DE"/>
    <w:rsid w:val="50A649F5"/>
    <w:rsid w:val="50AB5EB6"/>
    <w:rsid w:val="50AD494C"/>
    <w:rsid w:val="50AE6FE2"/>
    <w:rsid w:val="50B16618"/>
    <w:rsid w:val="50BB6306"/>
    <w:rsid w:val="50BF5E9F"/>
    <w:rsid w:val="50C12EDC"/>
    <w:rsid w:val="50C471FF"/>
    <w:rsid w:val="50CD2E4B"/>
    <w:rsid w:val="50D8533B"/>
    <w:rsid w:val="50DA0A9E"/>
    <w:rsid w:val="50ED21B8"/>
    <w:rsid w:val="50F31CB9"/>
    <w:rsid w:val="50F66F3D"/>
    <w:rsid w:val="50F8688B"/>
    <w:rsid w:val="50FA27BD"/>
    <w:rsid w:val="50FA629D"/>
    <w:rsid w:val="50FB1A8B"/>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C2E9E"/>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201FF"/>
    <w:rsid w:val="51E5046A"/>
    <w:rsid w:val="51F6353C"/>
    <w:rsid w:val="520D7B42"/>
    <w:rsid w:val="52175F05"/>
    <w:rsid w:val="52272B85"/>
    <w:rsid w:val="52284E31"/>
    <w:rsid w:val="522A5519"/>
    <w:rsid w:val="523E09B5"/>
    <w:rsid w:val="524053B4"/>
    <w:rsid w:val="52431715"/>
    <w:rsid w:val="52687B2A"/>
    <w:rsid w:val="526D58FF"/>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75E3C"/>
    <w:rsid w:val="532F77EA"/>
    <w:rsid w:val="53367575"/>
    <w:rsid w:val="533933AA"/>
    <w:rsid w:val="533B7F54"/>
    <w:rsid w:val="533D2D66"/>
    <w:rsid w:val="535009E1"/>
    <w:rsid w:val="53622480"/>
    <w:rsid w:val="53650168"/>
    <w:rsid w:val="53651B48"/>
    <w:rsid w:val="53665DA9"/>
    <w:rsid w:val="536C2A29"/>
    <w:rsid w:val="536E571F"/>
    <w:rsid w:val="538859E4"/>
    <w:rsid w:val="538E3092"/>
    <w:rsid w:val="53902F6B"/>
    <w:rsid w:val="53917F72"/>
    <w:rsid w:val="539F394B"/>
    <w:rsid w:val="53A20FFA"/>
    <w:rsid w:val="53A233E4"/>
    <w:rsid w:val="53A63AE8"/>
    <w:rsid w:val="53A94C48"/>
    <w:rsid w:val="53AA7BC7"/>
    <w:rsid w:val="53AE5EA5"/>
    <w:rsid w:val="53B00B1F"/>
    <w:rsid w:val="53B2409D"/>
    <w:rsid w:val="53B31E73"/>
    <w:rsid w:val="53BD0731"/>
    <w:rsid w:val="53BF4252"/>
    <w:rsid w:val="53C950CA"/>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5359D"/>
    <w:rsid w:val="548A51DF"/>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84466"/>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17390"/>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16320B"/>
    <w:rsid w:val="572657E3"/>
    <w:rsid w:val="5732705F"/>
    <w:rsid w:val="57351D6F"/>
    <w:rsid w:val="573B7F99"/>
    <w:rsid w:val="57422DC7"/>
    <w:rsid w:val="576476C1"/>
    <w:rsid w:val="576E1940"/>
    <w:rsid w:val="57756BF9"/>
    <w:rsid w:val="57770501"/>
    <w:rsid w:val="577B3337"/>
    <w:rsid w:val="577D4F28"/>
    <w:rsid w:val="578B1816"/>
    <w:rsid w:val="57A33734"/>
    <w:rsid w:val="57A53B57"/>
    <w:rsid w:val="57AB6ADD"/>
    <w:rsid w:val="57B7178E"/>
    <w:rsid w:val="57B76EED"/>
    <w:rsid w:val="57BD72A7"/>
    <w:rsid w:val="57BE5838"/>
    <w:rsid w:val="57BF764E"/>
    <w:rsid w:val="57C13144"/>
    <w:rsid w:val="57C4347C"/>
    <w:rsid w:val="57CB35DF"/>
    <w:rsid w:val="57D82354"/>
    <w:rsid w:val="57FC0156"/>
    <w:rsid w:val="57FC07D9"/>
    <w:rsid w:val="57FF6992"/>
    <w:rsid w:val="58036FF1"/>
    <w:rsid w:val="580F1B21"/>
    <w:rsid w:val="581B7E79"/>
    <w:rsid w:val="5837438C"/>
    <w:rsid w:val="58420FA1"/>
    <w:rsid w:val="584F342A"/>
    <w:rsid w:val="58500F22"/>
    <w:rsid w:val="58587379"/>
    <w:rsid w:val="585D72B5"/>
    <w:rsid w:val="586D57A3"/>
    <w:rsid w:val="587917A0"/>
    <w:rsid w:val="587A4288"/>
    <w:rsid w:val="5880052B"/>
    <w:rsid w:val="588C2720"/>
    <w:rsid w:val="588E3967"/>
    <w:rsid w:val="589E7444"/>
    <w:rsid w:val="58AD27D9"/>
    <w:rsid w:val="58B169A2"/>
    <w:rsid w:val="58B9636C"/>
    <w:rsid w:val="58C219AE"/>
    <w:rsid w:val="58C37133"/>
    <w:rsid w:val="58C93046"/>
    <w:rsid w:val="58C952C6"/>
    <w:rsid w:val="58D36BCB"/>
    <w:rsid w:val="58D42880"/>
    <w:rsid w:val="58D8157C"/>
    <w:rsid w:val="58E11166"/>
    <w:rsid w:val="58E6349C"/>
    <w:rsid w:val="58E83DEC"/>
    <w:rsid w:val="58EF63EE"/>
    <w:rsid w:val="590317F0"/>
    <w:rsid w:val="59075000"/>
    <w:rsid w:val="592544CF"/>
    <w:rsid w:val="593559FD"/>
    <w:rsid w:val="593A4D15"/>
    <w:rsid w:val="594079B2"/>
    <w:rsid w:val="595B45EE"/>
    <w:rsid w:val="595C4A81"/>
    <w:rsid w:val="596A688E"/>
    <w:rsid w:val="596E7229"/>
    <w:rsid w:val="5972466D"/>
    <w:rsid w:val="59860400"/>
    <w:rsid w:val="5987482A"/>
    <w:rsid w:val="59897DE4"/>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2580A"/>
    <w:rsid w:val="5AA75D85"/>
    <w:rsid w:val="5AB7299D"/>
    <w:rsid w:val="5ABC50F4"/>
    <w:rsid w:val="5ACC4940"/>
    <w:rsid w:val="5ACD3CD2"/>
    <w:rsid w:val="5AD7333E"/>
    <w:rsid w:val="5AD85AA5"/>
    <w:rsid w:val="5AD86A6D"/>
    <w:rsid w:val="5ADA2BF4"/>
    <w:rsid w:val="5ADF4325"/>
    <w:rsid w:val="5AE8708E"/>
    <w:rsid w:val="5AEB6283"/>
    <w:rsid w:val="5AEC14F6"/>
    <w:rsid w:val="5AF124A4"/>
    <w:rsid w:val="5B0A4D6B"/>
    <w:rsid w:val="5B141085"/>
    <w:rsid w:val="5B1C2A87"/>
    <w:rsid w:val="5B266C40"/>
    <w:rsid w:val="5B28192B"/>
    <w:rsid w:val="5B33135D"/>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825CAE"/>
    <w:rsid w:val="5B9004A9"/>
    <w:rsid w:val="5B907C6C"/>
    <w:rsid w:val="5B9251EF"/>
    <w:rsid w:val="5BAB5BC4"/>
    <w:rsid w:val="5BAC79AD"/>
    <w:rsid w:val="5BB20B74"/>
    <w:rsid w:val="5BB33170"/>
    <w:rsid w:val="5BC677D8"/>
    <w:rsid w:val="5BC857FD"/>
    <w:rsid w:val="5BD0669E"/>
    <w:rsid w:val="5BEB0120"/>
    <w:rsid w:val="5BEC175C"/>
    <w:rsid w:val="5BEF3E44"/>
    <w:rsid w:val="5BEF69FF"/>
    <w:rsid w:val="5C053E62"/>
    <w:rsid w:val="5C064BA0"/>
    <w:rsid w:val="5C07067E"/>
    <w:rsid w:val="5C075BB6"/>
    <w:rsid w:val="5C097C4E"/>
    <w:rsid w:val="5C0D06A2"/>
    <w:rsid w:val="5C1A3A93"/>
    <w:rsid w:val="5C1C3059"/>
    <w:rsid w:val="5C235386"/>
    <w:rsid w:val="5C2A4E9F"/>
    <w:rsid w:val="5C37782E"/>
    <w:rsid w:val="5C3822CC"/>
    <w:rsid w:val="5C3B6CFC"/>
    <w:rsid w:val="5C4735D5"/>
    <w:rsid w:val="5C4C2C9B"/>
    <w:rsid w:val="5C4C2CF4"/>
    <w:rsid w:val="5C5E6BCC"/>
    <w:rsid w:val="5C6B1600"/>
    <w:rsid w:val="5C6E26BF"/>
    <w:rsid w:val="5C706511"/>
    <w:rsid w:val="5C7A7F52"/>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429B7"/>
    <w:rsid w:val="5DC848B4"/>
    <w:rsid w:val="5DD14397"/>
    <w:rsid w:val="5DD3123F"/>
    <w:rsid w:val="5DD45E00"/>
    <w:rsid w:val="5DD564E5"/>
    <w:rsid w:val="5DD71C7A"/>
    <w:rsid w:val="5DD734EC"/>
    <w:rsid w:val="5DDA4F5F"/>
    <w:rsid w:val="5DDF6E6E"/>
    <w:rsid w:val="5DEC05A1"/>
    <w:rsid w:val="5DEE0433"/>
    <w:rsid w:val="5DEE2993"/>
    <w:rsid w:val="5DFD51DB"/>
    <w:rsid w:val="5E074E49"/>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85A72"/>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D3528D"/>
    <w:rsid w:val="5EE153F8"/>
    <w:rsid w:val="5EE73A31"/>
    <w:rsid w:val="5EE836CB"/>
    <w:rsid w:val="5EEA322F"/>
    <w:rsid w:val="5EED7893"/>
    <w:rsid w:val="5EF427A1"/>
    <w:rsid w:val="5EFB2125"/>
    <w:rsid w:val="5EFB6F0A"/>
    <w:rsid w:val="5F0A3A61"/>
    <w:rsid w:val="5F114A3D"/>
    <w:rsid w:val="5F3370DF"/>
    <w:rsid w:val="5F683B6E"/>
    <w:rsid w:val="5F684490"/>
    <w:rsid w:val="5F697EE8"/>
    <w:rsid w:val="5F6D06D6"/>
    <w:rsid w:val="5F6E751E"/>
    <w:rsid w:val="5F6E768C"/>
    <w:rsid w:val="5F875C0C"/>
    <w:rsid w:val="5F89013A"/>
    <w:rsid w:val="5F8A0701"/>
    <w:rsid w:val="5F8F0B9E"/>
    <w:rsid w:val="5F8F267A"/>
    <w:rsid w:val="5F941274"/>
    <w:rsid w:val="5F99518A"/>
    <w:rsid w:val="5F9A540B"/>
    <w:rsid w:val="5FAB7F08"/>
    <w:rsid w:val="5FB7185B"/>
    <w:rsid w:val="5FB94C48"/>
    <w:rsid w:val="5FBE576C"/>
    <w:rsid w:val="5FD92450"/>
    <w:rsid w:val="5FDE327E"/>
    <w:rsid w:val="5FEB4E90"/>
    <w:rsid w:val="5FF37587"/>
    <w:rsid w:val="5FF85D1E"/>
    <w:rsid w:val="5FFE57B7"/>
    <w:rsid w:val="5FFF04A2"/>
    <w:rsid w:val="60060CD5"/>
    <w:rsid w:val="60085AA3"/>
    <w:rsid w:val="600E362B"/>
    <w:rsid w:val="60183392"/>
    <w:rsid w:val="601A4CB1"/>
    <w:rsid w:val="601B56CB"/>
    <w:rsid w:val="60237FFC"/>
    <w:rsid w:val="602647A9"/>
    <w:rsid w:val="602C236D"/>
    <w:rsid w:val="603114E4"/>
    <w:rsid w:val="603967D7"/>
    <w:rsid w:val="603D3325"/>
    <w:rsid w:val="604040A8"/>
    <w:rsid w:val="604233CA"/>
    <w:rsid w:val="604310A8"/>
    <w:rsid w:val="60470CE3"/>
    <w:rsid w:val="60485D19"/>
    <w:rsid w:val="604D29BA"/>
    <w:rsid w:val="605C4AD4"/>
    <w:rsid w:val="605C5019"/>
    <w:rsid w:val="606711B4"/>
    <w:rsid w:val="60673C40"/>
    <w:rsid w:val="606A52D4"/>
    <w:rsid w:val="606C5678"/>
    <w:rsid w:val="607A0897"/>
    <w:rsid w:val="607B4781"/>
    <w:rsid w:val="607C3753"/>
    <w:rsid w:val="607F6EAB"/>
    <w:rsid w:val="608D1D4E"/>
    <w:rsid w:val="60911FEF"/>
    <w:rsid w:val="60923D36"/>
    <w:rsid w:val="6092569C"/>
    <w:rsid w:val="609D0F5A"/>
    <w:rsid w:val="60AC72CC"/>
    <w:rsid w:val="60AD0357"/>
    <w:rsid w:val="60B004BE"/>
    <w:rsid w:val="60B60611"/>
    <w:rsid w:val="60B6381B"/>
    <w:rsid w:val="60BA604C"/>
    <w:rsid w:val="60C302BA"/>
    <w:rsid w:val="60C30855"/>
    <w:rsid w:val="60C338B1"/>
    <w:rsid w:val="60C8010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C3D06"/>
    <w:rsid w:val="61ED6D6A"/>
    <w:rsid w:val="61FF316E"/>
    <w:rsid w:val="62014BDB"/>
    <w:rsid w:val="621542CB"/>
    <w:rsid w:val="621C2930"/>
    <w:rsid w:val="623A4E60"/>
    <w:rsid w:val="624263A2"/>
    <w:rsid w:val="6248722E"/>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402B4"/>
    <w:rsid w:val="62F6011A"/>
    <w:rsid w:val="62FD2BA9"/>
    <w:rsid w:val="63107694"/>
    <w:rsid w:val="6314586E"/>
    <w:rsid w:val="6327422B"/>
    <w:rsid w:val="6328597C"/>
    <w:rsid w:val="633B249F"/>
    <w:rsid w:val="633D1842"/>
    <w:rsid w:val="635123F0"/>
    <w:rsid w:val="63552D76"/>
    <w:rsid w:val="6359778B"/>
    <w:rsid w:val="635B63E3"/>
    <w:rsid w:val="63677698"/>
    <w:rsid w:val="63771D13"/>
    <w:rsid w:val="63791642"/>
    <w:rsid w:val="637C01B3"/>
    <w:rsid w:val="638C3395"/>
    <w:rsid w:val="63B37325"/>
    <w:rsid w:val="63B811CF"/>
    <w:rsid w:val="63B82D87"/>
    <w:rsid w:val="63BA3154"/>
    <w:rsid w:val="63C509F9"/>
    <w:rsid w:val="63CA2E8B"/>
    <w:rsid w:val="63CF097D"/>
    <w:rsid w:val="63D4153E"/>
    <w:rsid w:val="63DA0FA3"/>
    <w:rsid w:val="63DC7755"/>
    <w:rsid w:val="63E43D21"/>
    <w:rsid w:val="63E774B3"/>
    <w:rsid w:val="63F04A04"/>
    <w:rsid w:val="63F24AD5"/>
    <w:rsid w:val="63F47D2A"/>
    <w:rsid w:val="63F6335E"/>
    <w:rsid w:val="63FE2D33"/>
    <w:rsid w:val="64046427"/>
    <w:rsid w:val="640B5788"/>
    <w:rsid w:val="642369FC"/>
    <w:rsid w:val="64254882"/>
    <w:rsid w:val="64264A79"/>
    <w:rsid w:val="6426603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900A7"/>
    <w:rsid w:val="64EB5728"/>
    <w:rsid w:val="64FA211B"/>
    <w:rsid w:val="64FB4412"/>
    <w:rsid w:val="64FE700F"/>
    <w:rsid w:val="6500327F"/>
    <w:rsid w:val="6503698F"/>
    <w:rsid w:val="6506609B"/>
    <w:rsid w:val="65083216"/>
    <w:rsid w:val="650A57D3"/>
    <w:rsid w:val="65460728"/>
    <w:rsid w:val="654835A8"/>
    <w:rsid w:val="654C7056"/>
    <w:rsid w:val="654D7A6A"/>
    <w:rsid w:val="65696D87"/>
    <w:rsid w:val="65733E15"/>
    <w:rsid w:val="657D30C6"/>
    <w:rsid w:val="65822810"/>
    <w:rsid w:val="65870C45"/>
    <w:rsid w:val="658F6B54"/>
    <w:rsid w:val="65955CF7"/>
    <w:rsid w:val="659705FF"/>
    <w:rsid w:val="659C60A2"/>
    <w:rsid w:val="65A47504"/>
    <w:rsid w:val="65AA6346"/>
    <w:rsid w:val="65B01B69"/>
    <w:rsid w:val="65B56C47"/>
    <w:rsid w:val="65B7794D"/>
    <w:rsid w:val="65B8262E"/>
    <w:rsid w:val="65BC15EE"/>
    <w:rsid w:val="65C73EFE"/>
    <w:rsid w:val="65D23D59"/>
    <w:rsid w:val="65D4773F"/>
    <w:rsid w:val="65DC5939"/>
    <w:rsid w:val="65DC7985"/>
    <w:rsid w:val="65F14641"/>
    <w:rsid w:val="65F5655C"/>
    <w:rsid w:val="65F64F18"/>
    <w:rsid w:val="65FF118E"/>
    <w:rsid w:val="66052F43"/>
    <w:rsid w:val="66065483"/>
    <w:rsid w:val="6609487E"/>
    <w:rsid w:val="660B443C"/>
    <w:rsid w:val="661D25CE"/>
    <w:rsid w:val="66206CF2"/>
    <w:rsid w:val="66265846"/>
    <w:rsid w:val="66287C9C"/>
    <w:rsid w:val="662E4097"/>
    <w:rsid w:val="664805B8"/>
    <w:rsid w:val="665572E9"/>
    <w:rsid w:val="665B14BD"/>
    <w:rsid w:val="665B55EA"/>
    <w:rsid w:val="66641D58"/>
    <w:rsid w:val="66655F85"/>
    <w:rsid w:val="667C7AEC"/>
    <w:rsid w:val="667F71BA"/>
    <w:rsid w:val="668547B8"/>
    <w:rsid w:val="66863A0F"/>
    <w:rsid w:val="668C53CC"/>
    <w:rsid w:val="66984358"/>
    <w:rsid w:val="66987BD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0B6C70"/>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2558C"/>
    <w:rsid w:val="68D507C6"/>
    <w:rsid w:val="68E24981"/>
    <w:rsid w:val="68E62C62"/>
    <w:rsid w:val="68ED60A5"/>
    <w:rsid w:val="69123F86"/>
    <w:rsid w:val="691C1D81"/>
    <w:rsid w:val="691C3525"/>
    <w:rsid w:val="691C4B46"/>
    <w:rsid w:val="69216128"/>
    <w:rsid w:val="69250799"/>
    <w:rsid w:val="69276FF2"/>
    <w:rsid w:val="69280874"/>
    <w:rsid w:val="692E74C3"/>
    <w:rsid w:val="69307671"/>
    <w:rsid w:val="695241D9"/>
    <w:rsid w:val="695D6B21"/>
    <w:rsid w:val="69611EE7"/>
    <w:rsid w:val="69621F5B"/>
    <w:rsid w:val="696C708E"/>
    <w:rsid w:val="696F4D5D"/>
    <w:rsid w:val="69850877"/>
    <w:rsid w:val="698C13C5"/>
    <w:rsid w:val="698E32DB"/>
    <w:rsid w:val="69A17C7E"/>
    <w:rsid w:val="69BD4830"/>
    <w:rsid w:val="69C12919"/>
    <w:rsid w:val="69C71624"/>
    <w:rsid w:val="69EB1E1E"/>
    <w:rsid w:val="69F0745A"/>
    <w:rsid w:val="69F83691"/>
    <w:rsid w:val="6A0D20F2"/>
    <w:rsid w:val="6A117613"/>
    <w:rsid w:val="6A1757B7"/>
    <w:rsid w:val="6A1A2066"/>
    <w:rsid w:val="6A1A4305"/>
    <w:rsid w:val="6A1D59EC"/>
    <w:rsid w:val="6A247F72"/>
    <w:rsid w:val="6A2E5EF8"/>
    <w:rsid w:val="6A3A6D15"/>
    <w:rsid w:val="6A3E2393"/>
    <w:rsid w:val="6A3E360B"/>
    <w:rsid w:val="6A435B92"/>
    <w:rsid w:val="6A444DB8"/>
    <w:rsid w:val="6A471880"/>
    <w:rsid w:val="6A4C28F4"/>
    <w:rsid w:val="6A4D4828"/>
    <w:rsid w:val="6A516AC3"/>
    <w:rsid w:val="6A5303BA"/>
    <w:rsid w:val="6A5B28ED"/>
    <w:rsid w:val="6A677080"/>
    <w:rsid w:val="6A711183"/>
    <w:rsid w:val="6A720BCF"/>
    <w:rsid w:val="6A7B4B9C"/>
    <w:rsid w:val="6A8A1698"/>
    <w:rsid w:val="6AAE7116"/>
    <w:rsid w:val="6AAF014C"/>
    <w:rsid w:val="6ABD60AB"/>
    <w:rsid w:val="6AC07690"/>
    <w:rsid w:val="6ACB082B"/>
    <w:rsid w:val="6ACD3503"/>
    <w:rsid w:val="6AD3247E"/>
    <w:rsid w:val="6AE4699C"/>
    <w:rsid w:val="6AED1BE8"/>
    <w:rsid w:val="6AF00853"/>
    <w:rsid w:val="6AF317C6"/>
    <w:rsid w:val="6B004C6B"/>
    <w:rsid w:val="6B09696B"/>
    <w:rsid w:val="6B250FA2"/>
    <w:rsid w:val="6B2B0EFD"/>
    <w:rsid w:val="6B2C13E4"/>
    <w:rsid w:val="6B2D2EEB"/>
    <w:rsid w:val="6B322952"/>
    <w:rsid w:val="6B410613"/>
    <w:rsid w:val="6B493E2C"/>
    <w:rsid w:val="6B4B0A4C"/>
    <w:rsid w:val="6B4B36C9"/>
    <w:rsid w:val="6B4E75E6"/>
    <w:rsid w:val="6B50310B"/>
    <w:rsid w:val="6B5045E2"/>
    <w:rsid w:val="6B5B3B9E"/>
    <w:rsid w:val="6B5C4553"/>
    <w:rsid w:val="6B62569D"/>
    <w:rsid w:val="6B692897"/>
    <w:rsid w:val="6B695848"/>
    <w:rsid w:val="6B6A1A57"/>
    <w:rsid w:val="6B6D1317"/>
    <w:rsid w:val="6B730045"/>
    <w:rsid w:val="6B736A2E"/>
    <w:rsid w:val="6B762264"/>
    <w:rsid w:val="6B792765"/>
    <w:rsid w:val="6B7964E9"/>
    <w:rsid w:val="6B8642C7"/>
    <w:rsid w:val="6B874340"/>
    <w:rsid w:val="6B884219"/>
    <w:rsid w:val="6B90781F"/>
    <w:rsid w:val="6B95451B"/>
    <w:rsid w:val="6BA6663C"/>
    <w:rsid w:val="6BA9194F"/>
    <w:rsid w:val="6BB07973"/>
    <w:rsid w:val="6BC43854"/>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4E0AF9"/>
    <w:rsid w:val="6D5D0DB5"/>
    <w:rsid w:val="6D6855B1"/>
    <w:rsid w:val="6D6C5D15"/>
    <w:rsid w:val="6D7157A1"/>
    <w:rsid w:val="6D7B4AB7"/>
    <w:rsid w:val="6D831FBE"/>
    <w:rsid w:val="6D836C02"/>
    <w:rsid w:val="6D89784B"/>
    <w:rsid w:val="6D8C7F73"/>
    <w:rsid w:val="6D9057BE"/>
    <w:rsid w:val="6D9E0566"/>
    <w:rsid w:val="6DA035CB"/>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5A2442"/>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897856"/>
    <w:rsid w:val="6F905BB3"/>
    <w:rsid w:val="6F9A3007"/>
    <w:rsid w:val="6FA629D4"/>
    <w:rsid w:val="6FA75ADB"/>
    <w:rsid w:val="6FB77ED4"/>
    <w:rsid w:val="6FBD3BBF"/>
    <w:rsid w:val="6FBD4D2F"/>
    <w:rsid w:val="6FBF4710"/>
    <w:rsid w:val="6FC9109F"/>
    <w:rsid w:val="6FCC6779"/>
    <w:rsid w:val="6FDB518F"/>
    <w:rsid w:val="6FDF72B1"/>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C54C7"/>
    <w:rsid w:val="70611FB0"/>
    <w:rsid w:val="70655A58"/>
    <w:rsid w:val="706A37E5"/>
    <w:rsid w:val="70822BAD"/>
    <w:rsid w:val="708746BC"/>
    <w:rsid w:val="708A15C0"/>
    <w:rsid w:val="708F7F54"/>
    <w:rsid w:val="7097435B"/>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1E1BAA"/>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03599"/>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5B7688"/>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52BA7"/>
    <w:rsid w:val="72FD426E"/>
    <w:rsid w:val="73043CFC"/>
    <w:rsid w:val="7317244F"/>
    <w:rsid w:val="7329654B"/>
    <w:rsid w:val="732B736C"/>
    <w:rsid w:val="732C334F"/>
    <w:rsid w:val="733501BF"/>
    <w:rsid w:val="734900F8"/>
    <w:rsid w:val="734F0C79"/>
    <w:rsid w:val="734F4185"/>
    <w:rsid w:val="73520620"/>
    <w:rsid w:val="73536078"/>
    <w:rsid w:val="7363274A"/>
    <w:rsid w:val="73691A4A"/>
    <w:rsid w:val="7371152B"/>
    <w:rsid w:val="73777B4D"/>
    <w:rsid w:val="73777D21"/>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A0435"/>
    <w:rsid w:val="744B354F"/>
    <w:rsid w:val="7450294E"/>
    <w:rsid w:val="74531332"/>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5A4C4E"/>
    <w:rsid w:val="75633812"/>
    <w:rsid w:val="756F29D2"/>
    <w:rsid w:val="75752B04"/>
    <w:rsid w:val="7580654E"/>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C2E10"/>
    <w:rsid w:val="764F5A52"/>
    <w:rsid w:val="76521C57"/>
    <w:rsid w:val="766163C1"/>
    <w:rsid w:val="76665926"/>
    <w:rsid w:val="766A4A0D"/>
    <w:rsid w:val="768C454B"/>
    <w:rsid w:val="7692667A"/>
    <w:rsid w:val="76982273"/>
    <w:rsid w:val="769A1A97"/>
    <w:rsid w:val="769A7352"/>
    <w:rsid w:val="769C4619"/>
    <w:rsid w:val="76A177B8"/>
    <w:rsid w:val="76A766BF"/>
    <w:rsid w:val="76AD2761"/>
    <w:rsid w:val="76B64E53"/>
    <w:rsid w:val="76B8001A"/>
    <w:rsid w:val="76B81599"/>
    <w:rsid w:val="76B97D11"/>
    <w:rsid w:val="76BB2F21"/>
    <w:rsid w:val="76BC314A"/>
    <w:rsid w:val="76C12918"/>
    <w:rsid w:val="76CC16BA"/>
    <w:rsid w:val="76CF29D3"/>
    <w:rsid w:val="76DC19D4"/>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A5E14"/>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BF39C7"/>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AC20B5"/>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BD574A"/>
    <w:rsid w:val="79C07B43"/>
    <w:rsid w:val="79C832AC"/>
    <w:rsid w:val="79D33056"/>
    <w:rsid w:val="79D715DF"/>
    <w:rsid w:val="79D85AB0"/>
    <w:rsid w:val="79E16F93"/>
    <w:rsid w:val="79E701E5"/>
    <w:rsid w:val="79EC0256"/>
    <w:rsid w:val="79F60153"/>
    <w:rsid w:val="79FB6E2C"/>
    <w:rsid w:val="79FF7B91"/>
    <w:rsid w:val="7A165123"/>
    <w:rsid w:val="7A1C011A"/>
    <w:rsid w:val="7A2F0864"/>
    <w:rsid w:val="7A36322F"/>
    <w:rsid w:val="7A3B3D4A"/>
    <w:rsid w:val="7A431242"/>
    <w:rsid w:val="7A444657"/>
    <w:rsid w:val="7A4B3D21"/>
    <w:rsid w:val="7A4C2D60"/>
    <w:rsid w:val="7A5458B9"/>
    <w:rsid w:val="7A5E0869"/>
    <w:rsid w:val="7A69432B"/>
    <w:rsid w:val="7A6E4BF5"/>
    <w:rsid w:val="7A6E5088"/>
    <w:rsid w:val="7A7F4A1E"/>
    <w:rsid w:val="7A8246BA"/>
    <w:rsid w:val="7A851D5D"/>
    <w:rsid w:val="7A8A2267"/>
    <w:rsid w:val="7AA07F3B"/>
    <w:rsid w:val="7AAF413A"/>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120E0"/>
    <w:rsid w:val="7B78553B"/>
    <w:rsid w:val="7B786809"/>
    <w:rsid w:val="7B7A004F"/>
    <w:rsid w:val="7B890A24"/>
    <w:rsid w:val="7B8A4A8A"/>
    <w:rsid w:val="7B9E6DBB"/>
    <w:rsid w:val="7BA37095"/>
    <w:rsid w:val="7BAA485C"/>
    <w:rsid w:val="7BAD1591"/>
    <w:rsid w:val="7BCD64C2"/>
    <w:rsid w:val="7BD3716B"/>
    <w:rsid w:val="7BD40348"/>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8F65F9"/>
    <w:rsid w:val="7C9B5288"/>
    <w:rsid w:val="7C9E5A24"/>
    <w:rsid w:val="7CA745A1"/>
    <w:rsid w:val="7CAC476D"/>
    <w:rsid w:val="7CAF4DCB"/>
    <w:rsid w:val="7CB4006B"/>
    <w:rsid w:val="7CB93ABB"/>
    <w:rsid w:val="7CC475DB"/>
    <w:rsid w:val="7CC91267"/>
    <w:rsid w:val="7CCA4C41"/>
    <w:rsid w:val="7CD36BD6"/>
    <w:rsid w:val="7CDE3831"/>
    <w:rsid w:val="7CE05980"/>
    <w:rsid w:val="7CE656F0"/>
    <w:rsid w:val="7CED34FF"/>
    <w:rsid w:val="7CEE5458"/>
    <w:rsid w:val="7CF04D9E"/>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B467D2"/>
    <w:rsid w:val="7DCD1A27"/>
    <w:rsid w:val="7DCD4EB5"/>
    <w:rsid w:val="7DDF20BC"/>
    <w:rsid w:val="7DE07962"/>
    <w:rsid w:val="7DE34955"/>
    <w:rsid w:val="7DFF1E31"/>
    <w:rsid w:val="7E0565CD"/>
    <w:rsid w:val="7E090313"/>
    <w:rsid w:val="7E097A5B"/>
    <w:rsid w:val="7E1B1ABE"/>
    <w:rsid w:val="7E3E0FEC"/>
    <w:rsid w:val="7E3E1EF2"/>
    <w:rsid w:val="7E566EA2"/>
    <w:rsid w:val="7E5B15D2"/>
    <w:rsid w:val="7E5B76B4"/>
    <w:rsid w:val="7E5C1ABA"/>
    <w:rsid w:val="7E61281D"/>
    <w:rsid w:val="7E622778"/>
    <w:rsid w:val="7E6A479F"/>
    <w:rsid w:val="7E726401"/>
    <w:rsid w:val="7E756346"/>
    <w:rsid w:val="7E7D055C"/>
    <w:rsid w:val="7E8104AE"/>
    <w:rsid w:val="7E84007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85F9D"/>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3228D"/>
    <w:rsid w:val="7F761ADC"/>
    <w:rsid w:val="7F7D7A8E"/>
    <w:rsid w:val="7F872588"/>
    <w:rsid w:val="7F8725BA"/>
    <w:rsid w:val="7F8C6A8F"/>
    <w:rsid w:val="7F994DB5"/>
    <w:rsid w:val="7F9C175D"/>
    <w:rsid w:val="7F9F773D"/>
    <w:rsid w:val="7FA85877"/>
    <w:rsid w:val="7FAB3A81"/>
    <w:rsid w:val="7FBB77A4"/>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Text"/>
    <w:basedOn w:val="1"/>
    <w:qFormat/>
    <w:uiPriority w:val="0"/>
    <w:pPr>
      <w:keepLines/>
      <w:spacing w:after="240" w:line="240" w:lineRule="auto"/>
      <w:jc w:val="both"/>
    </w:pPr>
    <w:rPr>
      <w:rFonts w:ascii="Arial" w:hAnsi="Arial" w:eastAsia="Times New Roman"/>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2025-05-09T07:04:59Z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0C580A1331B34D89A58F550CB685A983</vt:lpwstr>
  </property>
</Properties>
</file>